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20"/>
        <w:jc w:val="center"/>
      </w:pPr>
      <w:r>
        <w:rPr>
          <w:rStyle w:val="4"/>
          <w:rFonts w:ascii="华文中宋" w:hAnsi="华文中宋" w:eastAsia="华文中宋" w:cs="华文中宋"/>
          <w:sz w:val="36"/>
          <w:szCs w:val="36"/>
        </w:rPr>
        <w:t>个别岗位降低开考比例和划定面试合格分数线的方式组织面试情况</w:t>
      </w:r>
    </w:p>
    <w:tbl>
      <w:tblPr>
        <w:tblW w:w="838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750"/>
        <w:gridCol w:w="1290"/>
        <w:gridCol w:w="1275"/>
        <w:gridCol w:w="1020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2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招聘名额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已领取面试通知书人数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是否达到开考比例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是否降低开考比例</w:t>
            </w:r>
          </w:p>
        </w:tc>
        <w:tc>
          <w:tcPr>
            <w:tcW w:w="16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02004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02008小学数学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02015职中汽车维修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划定面试合格分数线70分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96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2017-05-25T14:06:26Z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