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6A01" w14:textId="77777777" w:rsidR="00345B44" w:rsidRDefault="002A4C43">
      <w:pPr>
        <w:spacing w:line="58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3</w:t>
      </w:r>
    </w:p>
    <w:p w14:paraId="401565E1" w14:textId="77777777" w:rsidR="00345B44" w:rsidRDefault="002A4C43">
      <w:pPr>
        <w:pStyle w:val="2"/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眉山天府新区基本情况简介</w:t>
      </w:r>
    </w:p>
    <w:p w14:paraId="0FF24773" w14:textId="77777777" w:rsidR="00345B44" w:rsidRDefault="00345B44">
      <w:pPr>
        <w:pStyle w:val="2"/>
        <w:adjustRightInd w:val="0"/>
        <w:snapToGrid w:val="0"/>
        <w:spacing w:line="500" w:lineRule="exact"/>
        <w:ind w:firstLineChars="200" w:firstLine="720"/>
        <w:rPr>
          <w:rFonts w:ascii="Times New Roman" w:eastAsia="方正仿宋简体" w:hAnsi="Times New Roman"/>
          <w:sz w:val="36"/>
          <w:szCs w:val="36"/>
        </w:rPr>
      </w:pPr>
    </w:p>
    <w:p w14:paraId="5CABD108" w14:textId="77777777" w:rsidR="00345B44" w:rsidRDefault="002A4C43">
      <w:pPr>
        <w:pStyle w:val="2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眉山天府新区</w:t>
      </w:r>
      <w:r>
        <w:rPr>
          <w:rFonts w:ascii="Times New Roman" w:eastAsia="仿宋_GB2312" w:hAnsi="Times New Roman"/>
          <w:sz w:val="32"/>
          <w:szCs w:val="32"/>
        </w:rPr>
        <w:t>是国家级天府新区的重要组成部分，幅员面积</w:t>
      </w:r>
      <w:r>
        <w:rPr>
          <w:rFonts w:ascii="Times New Roman" w:eastAsia="仿宋_GB2312" w:hAnsi="Times New Roman"/>
          <w:sz w:val="32"/>
          <w:szCs w:val="32"/>
        </w:rPr>
        <w:t>530</w:t>
      </w:r>
      <w:r>
        <w:rPr>
          <w:rFonts w:ascii="Times New Roman" w:eastAsia="仿宋_GB2312" w:hAnsi="Times New Roman"/>
          <w:sz w:val="32"/>
          <w:szCs w:val="32"/>
        </w:rPr>
        <w:t>平方公里，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包括视高</w:t>
      </w:r>
      <w:r>
        <w:rPr>
          <w:rFonts w:ascii="Times New Roman" w:eastAsia="仿宋_GB2312" w:hAnsi="Times New Roman" w:hint="eastAsia"/>
          <w:sz w:val="32"/>
          <w:szCs w:val="32"/>
        </w:rPr>
        <w:t>街道</w:t>
      </w:r>
      <w:proofErr w:type="gramEnd"/>
      <w:r>
        <w:rPr>
          <w:rFonts w:ascii="Times New Roman" w:eastAsia="仿宋_GB2312" w:hAnsi="Times New Roman"/>
          <w:sz w:val="32"/>
          <w:szCs w:val="32"/>
        </w:rPr>
        <w:t>、青龙</w:t>
      </w:r>
      <w:r>
        <w:rPr>
          <w:rFonts w:ascii="Times New Roman" w:eastAsia="仿宋_GB2312" w:hAnsi="Times New Roman" w:hint="eastAsia"/>
          <w:sz w:val="32"/>
          <w:szCs w:val="32"/>
        </w:rPr>
        <w:t>街道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贵平</w:t>
      </w:r>
      <w:r>
        <w:rPr>
          <w:rFonts w:ascii="Times New Roman" w:eastAsia="仿宋_GB2312" w:hAnsi="Times New Roman"/>
          <w:sz w:val="32"/>
          <w:szCs w:val="32"/>
        </w:rPr>
        <w:t>镇、锦江镇、高家镇，总人口</w:t>
      </w:r>
      <w:r>
        <w:rPr>
          <w:rFonts w:ascii="Times New Roman" w:eastAsia="仿宋_GB2312" w:hAnsi="Times New Roman"/>
          <w:sz w:val="32"/>
          <w:szCs w:val="32"/>
        </w:rPr>
        <w:t>27.36</w:t>
      </w:r>
      <w:r>
        <w:rPr>
          <w:rFonts w:ascii="Times New Roman" w:eastAsia="仿宋_GB2312" w:hAnsi="Times New Roman"/>
          <w:sz w:val="32"/>
          <w:szCs w:val="32"/>
        </w:rPr>
        <w:t>万人。按照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天府公园城、眉山创新谷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开放新高地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总体定位和</w:t>
      </w:r>
      <w:r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核两翼、多点共兴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空间布局，重点发展电子信息、装备制造、先进材料、数字经济、高端服务等产业及总部经济。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月，实质性组建了天府新区眉山党工委、管委会，实行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三位一体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运行。</w:t>
      </w:r>
    </w:p>
    <w:p w14:paraId="467EF9F8" w14:textId="77777777" w:rsidR="00345B44" w:rsidRDefault="002A4C43">
      <w:pPr>
        <w:pStyle w:val="2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月以来，引进了中法农业科技园、中日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国际康养城</w:t>
      </w:r>
      <w:proofErr w:type="gramEnd"/>
      <w:r>
        <w:rPr>
          <w:rFonts w:ascii="Times New Roman" w:eastAsia="仿宋_GB2312" w:hAnsi="Times New Roman"/>
          <w:sz w:val="32"/>
          <w:szCs w:val="32"/>
        </w:rPr>
        <w:t>、乐高乐园、川港合作示范园、眉山加州智慧城（森林硅谷）、联想叠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云创新</w:t>
      </w:r>
      <w:proofErr w:type="gramEnd"/>
      <w:r>
        <w:rPr>
          <w:rFonts w:ascii="Times New Roman" w:eastAsia="仿宋_GB2312" w:hAnsi="Times New Roman"/>
          <w:sz w:val="32"/>
          <w:szCs w:val="32"/>
        </w:rPr>
        <w:t>科技园等重大项目</w:t>
      </w:r>
      <w:r>
        <w:rPr>
          <w:rFonts w:ascii="Times New Roman" w:eastAsia="仿宋_GB2312" w:hAnsi="Times New Roman"/>
          <w:sz w:val="32"/>
          <w:szCs w:val="32"/>
        </w:rPr>
        <w:t>37</w:t>
      </w:r>
      <w:r>
        <w:rPr>
          <w:rFonts w:ascii="Times New Roman" w:eastAsia="仿宋_GB2312" w:hAnsi="Times New Roman"/>
          <w:sz w:val="32"/>
          <w:szCs w:val="32"/>
        </w:rPr>
        <w:t>个，协议总投资</w:t>
      </w:r>
      <w:r>
        <w:rPr>
          <w:rFonts w:ascii="Times New Roman" w:eastAsia="仿宋_GB2312" w:hAnsi="Times New Roman"/>
          <w:sz w:val="32"/>
          <w:szCs w:val="32"/>
        </w:rPr>
        <w:t>4700</w:t>
      </w:r>
      <w:r>
        <w:rPr>
          <w:rFonts w:ascii="Times New Roman" w:eastAsia="仿宋_GB2312" w:hAnsi="Times New Roman"/>
          <w:sz w:val="32"/>
          <w:szCs w:val="32"/>
        </w:rPr>
        <w:t>多亿元；</w:t>
      </w:r>
      <w:proofErr w:type="gramStart"/>
      <w:r>
        <w:rPr>
          <w:rFonts w:ascii="Times New Roman" w:eastAsia="仿宋_GB2312" w:hAnsi="Times New Roman"/>
          <w:sz w:val="32"/>
          <w:szCs w:val="32"/>
        </w:rPr>
        <w:t>眉</w:t>
      </w:r>
      <w:proofErr w:type="gramEnd"/>
      <w:r>
        <w:rPr>
          <w:rFonts w:ascii="Times New Roman" w:eastAsia="仿宋_GB2312" w:hAnsi="Times New Roman"/>
          <w:sz w:val="32"/>
          <w:szCs w:val="32"/>
        </w:rPr>
        <w:t>山加州智慧城（森林硅谷）已于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日正式开工；川港合作示范园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月底正式开工。现有联合利华等世界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强企业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家。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日，</w:t>
      </w:r>
      <w:r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天府新区成都管委会签订《关于共同推动天府新区成眉片区一体化发展战略合作协议》，共同推动空间布局融为一体、基础设施连通成网、产业发展错位互补、交流合作高效通畅、公共服务共建共享。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日，开通了全省第一条跨市城市公交</w:t>
      </w:r>
      <w:r>
        <w:rPr>
          <w:rFonts w:ascii="Times New Roman" w:eastAsia="仿宋_GB2312" w:hAnsi="Times New Roman"/>
          <w:sz w:val="32"/>
          <w:szCs w:val="32"/>
        </w:rPr>
        <w:t>T50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04885AC" w14:textId="77777777" w:rsidR="00345B44" w:rsidRDefault="002A4C43">
      <w:pPr>
        <w:tabs>
          <w:tab w:val="left" w:pos="7740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年，眉山天府新区</w:t>
      </w:r>
      <w:r>
        <w:rPr>
          <w:rFonts w:eastAsia="仿宋_GB2312" w:hint="eastAsia"/>
          <w:sz w:val="32"/>
          <w:szCs w:val="32"/>
        </w:rPr>
        <w:t>GDP</w:t>
      </w:r>
      <w:r>
        <w:rPr>
          <w:rFonts w:eastAsia="仿宋_GB2312" w:hint="eastAsia"/>
          <w:sz w:val="32"/>
          <w:szCs w:val="32"/>
        </w:rPr>
        <w:t>实现</w:t>
      </w:r>
      <w:r>
        <w:rPr>
          <w:rFonts w:eastAsia="仿宋_GB2312" w:hint="eastAsia"/>
          <w:sz w:val="32"/>
          <w:szCs w:val="32"/>
        </w:rPr>
        <w:t>136</w:t>
      </w:r>
      <w:r>
        <w:rPr>
          <w:rFonts w:eastAsia="仿宋_GB2312" w:hint="eastAsia"/>
          <w:sz w:val="32"/>
          <w:szCs w:val="32"/>
        </w:rPr>
        <w:t>亿元，同比增长</w:t>
      </w:r>
      <w:r>
        <w:rPr>
          <w:rFonts w:eastAsia="仿宋_GB2312" w:hint="eastAsia"/>
          <w:sz w:val="32"/>
          <w:szCs w:val="32"/>
        </w:rPr>
        <w:t>10.6%</w:t>
      </w:r>
      <w:r>
        <w:rPr>
          <w:rFonts w:eastAsia="仿宋_GB2312" w:hint="eastAsia"/>
          <w:sz w:val="32"/>
          <w:szCs w:val="32"/>
        </w:rPr>
        <w:t>；全社会固定资产投资</w:t>
      </w:r>
      <w:r>
        <w:rPr>
          <w:rFonts w:eastAsia="仿宋_GB2312" w:hint="eastAsia"/>
          <w:sz w:val="32"/>
          <w:szCs w:val="32"/>
        </w:rPr>
        <w:t>190.6</w:t>
      </w:r>
      <w:r>
        <w:rPr>
          <w:rFonts w:eastAsia="仿宋_GB2312" w:hint="eastAsia"/>
          <w:sz w:val="32"/>
          <w:szCs w:val="32"/>
        </w:rPr>
        <w:t>亿元、增长</w:t>
      </w:r>
      <w:r>
        <w:rPr>
          <w:rFonts w:eastAsia="仿宋_GB2312" w:hint="eastAsia"/>
          <w:sz w:val="32"/>
          <w:szCs w:val="32"/>
        </w:rPr>
        <w:t>15%</w:t>
      </w:r>
      <w:r>
        <w:rPr>
          <w:rFonts w:eastAsia="仿宋_GB2312" w:hint="eastAsia"/>
          <w:sz w:val="32"/>
          <w:szCs w:val="32"/>
        </w:rPr>
        <w:t>；地方一般公共预算</w:t>
      </w:r>
      <w:r>
        <w:rPr>
          <w:rFonts w:eastAsia="仿宋_GB2312" w:hint="eastAsia"/>
          <w:sz w:val="32"/>
          <w:szCs w:val="32"/>
        </w:rPr>
        <w:lastRenderedPageBreak/>
        <w:t>收入</w:t>
      </w:r>
      <w:r>
        <w:rPr>
          <w:rFonts w:eastAsia="仿宋_GB2312" w:hint="eastAsia"/>
          <w:sz w:val="32"/>
          <w:szCs w:val="32"/>
        </w:rPr>
        <w:t>13.5</w:t>
      </w:r>
      <w:r>
        <w:rPr>
          <w:rFonts w:eastAsia="仿宋_GB2312" w:hint="eastAsia"/>
          <w:sz w:val="32"/>
          <w:szCs w:val="32"/>
        </w:rPr>
        <w:t>亿元、增长</w:t>
      </w:r>
      <w:r>
        <w:rPr>
          <w:rFonts w:eastAsia="仿宋_GB2312" w:hint="eastAsia"/>
          <w:sz w:val="32"/>
          <w:szCs w:val="32"/>
        </w:rPr>
        <w:t>51.3%</w:t>
      </w:r>
      <w:r>
        <w:rPr>
          <w:rFonts w:eastAsia="仿宋_GB2312" w:hint="eastAsia"/>
          <w:sz w:val="32"/>
          <w:szCs w:val="32"/>
        </w:rPr>
        <w:t>；社会消费品零售总额</w:t>
      </w:r>
      <w:r>
        <w:rPr>
          <w:rFonts w:eastAsia="仿宋_GB2312" w:hint="eastAsia"/>
          <w:sz w:val="32"/>
          <w:szCs w:val="32"/>
        </w:rPr>
        <w:t>59.5</w:t>
      </w:r>
      <w:r>
        <w:rPr>
          <w:rFonts w:eastAsia="仿宋_GB2312" w:hint="eastAsia"/>
          <w:sz w:val="32"/>
          <w:szCs w:val="32"/>
        </w:rPr>
        <w:t>亿元，增长</w:t>
      </w:r>
      <w:r>
        <w:rPr>
          <w:rFonts w:eastAsia="仿宋_GB2312" w:hint="eastAsia"/>
          <w:sz w:val="32"/>
          <w:szCs w:val="32"/>
        </w:rPr>
        <w:t>15%</w:t>
      </w:r>
      <w:r>
        <w:rPr>
          <w:rFonts w:eastAsia="仿宋_GB2312" w:hint="eastAsia"/>
          <w:sz w:val="32"/>
          <w:szCs w:val="32"/>
        </w:rPr>
        <w:t>；服务业增加值</w:t>
      </w:r>
      <w:r>
        <w:rPr>
          <w:rFonts w:eastAsia="仿宋_GB2312" w:hint="eastAsia"/>
          <w:sz w:val="32"/>
          <w:szCs w:val="32"/>
        </w:rPr>
        <w:t>43.4</w:t>
      </w:r>
      <w:r>
        <w:rPr>
          <w:rFonts w:eastAsia="仿宋_GB2312" w:hint="eastAsia"/>
          <w:sz w:val="32"/>
          <w:szCs w:val="32"/>
        </w:rPr>
        <w:t>亿元、增长</w:t>
      </w:r>
      <w:r>
        <w:rPr>
          <w:rFonts w:eastAsia="仿宋_GB2312" w:hint="eastAsia"/>
          <w:sz w:val="32"/>
          <w:szCs w:val="32"/>
        </w:rPr>
        <w:t>13.8%</w:t>
      </w:r>
      <w:r>
        <w:rPr>
          <w:rFonts w:eastAsia="仿宋_GB2312" w:hint="eastAsia"/>
          <w:sz w:val="32"/>
          <w:szCs w:val="32"/>
        </w:rPr>
        <w:t>。主要经济指标领跑全市，成为</w:t>
      </w:r>
      <w:proofErr w:type="gramStart"/>
      <w:r>
        <w:rPr>
          <w:rFonts w:eastAsia="仿宋_GB2312" w:hint="eastAsia"/>
          <w:sz w:val="32"/>
          <w:szCs w:val="32"/>
        </w:rPr>
        <w:t>引领全市</w:t>
      </w:r>
      <w:proofErr w:type="gramEnd"/>
      <w:r>
        <w:rPr>
          <w:rFonts w:eastAsia="仿宋_GB2312" w:hint="eastAsia"/>
          <w:sz w:val="32"/>
          <w:szCs w:val="32"/>
        </w:rPr>
        <w:t>高质量发展的先行示范区。</w:t>
      </w:r>
    </w:p>
    <w:p w14:paraId="493CE483" w14:textId="77777777" w:rsidR="00345B44" w:rsidRDefault="00345B44">
      <w:pPr>
        <w:pStyle w:val="a5"/>
        <w:rPr>
          <w:rFonts w:ascii="Times New Roman" w:eastAsia="仿宋_GB2312" w:hAnsi="Times New Roman"/>
          <w:kern w:val="2"/>
          <w:lang w:eastAsia="zh-CN"/>
        </w:rPr>
      </w:pPr>
    </w:p>
    <w:p w14:paraId="401744F0" w14:textId="77777777" w:rsidR="00345B44" w:rsidRDefault="00345B44">
      <w:pPr>
        <w:pStyle w:val="a5"/>
        <w:rPr>
          <w:rFonts w:ascii="Times New Roman" w:eastAsia="仿宋_GB2312" w:hAnsi="Times New Roman"/>
          <w:kern w:val="2"/>
          <w:lang w:eastAsia="zh-CN"/>
        </w:rPr>
      </w:pPr>
    </w:p>
    <w:p w14:paraId="57BC92BD" w14:textId="77777777" w:rsidR="00345B44" w:rsidRDefault="002A4C43">
      <w:pPr>
        <w:adjustRightInd w:val="0"/>
        <w:snapToGrid w:val="0"/>
        <w:spacing w:line="580" w:lineRule="exact"/>
        <w:ind w:firstLineChars="200" w:firstLine="880"/>
        <w:jc w:val="center"/>
        <w:rPr>
          <w:rFonts w:eastAsia="方正小标宋简体" w:cs="方正小标宋简体"/>
          <w:sz w:val="44"/>
          <w:szCs w:val="44"/>
        </w:rPr>
      </w:pPr>
      <w:proofErr w:type="gramStart"/>
      <w:r>
        <w:rPr>
          <w:rFonts w:eastAsia="方正小标宋简体" w:cs="方正小标宋简体" w:hint="eastAsia"/>
          <w:sz w:val="44"/>
          <w:szCs w:val="44"/>
        </w:rPr>
        <w:t>视高中心</w:t>
      </w:r>
      <w:proofErr w:type="gramEnd"/>
      <w:r>
        <w:rPr>
          <w:rFonts w:eastAsia="方正小标宋简体" w:cs="方正小标宋简体" w:hint="eastAsia"/>
          <w:sz w:val="44"/>
          <w:szCs w:val="44"/>
        </w:rPr>
        <w:t>卫生院简介</w:t>
      </w:r>
    </w:p>
    <w:p w14:paraId="7856378C" w14:textId="77777777" w:rsidR="00345B44" w:rsidRDefault="00345B44">
      <w:pPr>
        <w:pStyle w:val="a5"/>
        <w:rPr>
          <w:rFonts w:ascii="Times New Roman" w:eastAsia="方正小标宋简体" w:hAnsi="Times New Roman" w:cs="方正小标宋简体"/>
          <w:sz w:val="44"/>
          <w:szCs w:val="44"/>
          <w:lang w:eastAsia="zh-CN"/>
        </w:rPr>
      </w:pPr>
    </w:p>
    <w:p w14:paraId="1E9DDC5D" w14:textId="77777777" w:rsidR="00345B44" w:rsidRDefault="002A4C43">
      <w:pPr>
        <w:widowControl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视高中心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卫生院位于眉山天府新区核心区域，交通便捷，近些年取得了不错发展。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医院占地</w:t>
      </w:r>
      <w:r>
        <w:rPr>
          <w:rFonts w:ascii="仿宋" w:eastAsia="仿宋" w:hAnsi="仿宋" w:cs="宋体" w:hint="eastAsia"/>
          <w:kern w:val="0"/>
          <w:sz w:val="32"/>
          <w:szCs w:val="32"/>
        </w:rPr>
        <w:t>面积</w:t>
      </w:r>
      <w:r>
        <w:rPr>
          <w:rFonts w:ascii="仿宋" w:eastAsia="仿宋" w:hAnsi="仿宋" w:cs="宋体" w:hint="eastAsia"/>
          <w:kern w:val="0"/>
          <w:sz w:val="32"/>
          <w:szCs w:val="32"/>
        </w:rPr>
        <w:t>15600</w:t>
      </w:r>
      <w:r>
        <w:rPr>
          <w:rFonts w:ascii="仿宋" w:eastAsia="仿宋" w:hAnsi="仿宋" w:cs="宋体" w:hint="eastAsia"/>
          <w:kern w:val="0"/>
          <w:sz w:val="32"/>
          <w:szCs w:val="32"/>
        </w:rPr>
        <w:t>平方米，业务用房建筑面积</w:t>
      </w:r>
      <w:r>
        <w:rPr>
          <w:rFonts w:ascii="仿宋" w:eastAsia="仿宋" w:hAnsi="仿宋" w:cs="宋体" w:hint="eastAsia"/>
          <w:kern w:val="0"/>
          <w:sz w:val="32"/>
          <w:szCs w:val="32"/>
        </w:rPr>
        <w:t>5000</w:t>
      </w:r>
      <w:r>
        <w:rPr>
          <w:rFonts w:ascii="仿宋" w:eastAsia="仿宋" w:hAnsi="仿宋" w:cs="宋体" w:hint="eastAsia"/>
          <w:kern w:val="0"/>
          <w:sz w:val="32"/>
          <w:szCs w:val="32"/>
        </w:rPr>
        <w:t>平方米</w:t>
      </w:r>
      <w:r>
        <w:rPr>
          <w:rFonts w:ascii="仿宋" w:eastAsia="仿宋" w:hAnsi="仿宋" w:cs="宋体" w:hint="eastAsia"/>
          <w:kern w:val="0"/>
          <w:sz w:val="32"/>
          <w:szCs w:val="32"/>
        </w:rPr>
        <w:t>；编制总数</w:t>
      </w:r>
      <w:r>
        <w:rPr>
          <w:rFonts w:ascii="仿宋" w:eastAsia="仿宋" w:hAnsi="仿宋" w:cs="宋体" w:hint="eastAsia"/>
          <w:kern w:val="0"/>
          <w:sz w:val="32"/>
          <w:szCs w:val="32"/>
        </w:rPr>
        <w:t>49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职工</w:t>
      </w:r>
      <w:r>
        <w:rPr>
          <w:rFonts w:ascii="仿宋" w:eastAsia="仿宋" w:hAnsi="仿宋" w:cs="宋体" w:hint="eastAsia"/>
          <w:kern w:val="0"/>
          <w:sz w:val="32"/>
          <w:szCs w:val="32"/>
        </w:rPr>
        <w:t>总数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其中</w:t>
      </w:r>
      <w:r>
        <w:rPr>
          <w:rFonts w:ascii="仿宋" w:eastAsia="仿宋" w:hAnsi="仿宋" w:cs="宋体" w:hint="eastAsia"/>
          <w:kern w:val="0"/>
          <w:sz w:val="32"/>
          <w:szCs w:val="32"/>
        </w:rPr>
        <w:t>在</w:t>
      </w:r>
      <w:r>
        <w:rPr>
          <w:rFonts w:ascii="仿宋" w:eastAsia="仿宋" w:hAnsi="仿宋" w:cs="宋体" w:hint="eastAsia"/>
          <w:kern w:val="0"/>
          <w:sz w:val="32"/>
          <w:szCs w:val="32"/>
        </w:rPr>
        <w:t>编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人，临聘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，下派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kern w:val="0"/>
          <w:sz w:val="32"/>
          <w:szCs w:val="32"/>
        </w:rPr>
        <w:t>；副</w:t>
      </w:r>
      <w:r>
        <w:rPr>
          <w:rFonts w:ascii="仿宋" w:eastAsia="仿宋" w:hAnsi="仿宋" w:cs="宋体" w:hint="eastAsia"/>
          <w:kern w:val="0"/>
          <w:sz w:val="32"/>
          <w:szCs w:val="32"/>
        </w:rPr>
        <w:t>高级职称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人，中级职称</w:t>
      </w:r>
      <w:r>
        <w:rPr>
          <w:rFonts w:ascii="仿宋" w:eastAsia="仿宋" w:hAnsi="仿宋" w:cs="宋体" w:hint="eastAsia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人，医师</w:t>
      </w:r>
      <w:r>
        <w:rPr>
          <w:rFonts w:ascii="仿宋" w:eastAsia="仿宋" w:hAnsi="仿宋" w:cs="宋体" w:hint="eastAsia"/>
          <w:kern w:val="0"/>
          <w:sz w:val="32"/>
          <w:szCs w:val="32"/>
        </w:rPr>
        <w:t>35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人，注册护士</w:t>
      </w:r>
      <w:r>
        <w:rPr>
          <w:rFonts w:ascii="仿宋" w:eastAsia="仿宋" w:hAnsi="仿宋" w:cs="宋体" w:hint="eastAsia"/>
          <w:kern w:val="0"/>
          <w:sz w:val="32"/>
          <w:szCs w:val="32"/>
        </w:rPr>
        <w:t>29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人，药师</w:t>
      </w:r>
      <w:r>
        <w:rPr>
          <w:rFonts w:ascii="仿宋" w:eastAsia="仿宋" w:hAnsi="仿宋" w:cs="宋体" w:hint="eastAsia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人。医院设有内科、外科、儿科、妇产科、中医科、中医骨伤科、康复科、手术室等临床科室及放射、</w:t>
      </w:r>
      <w:r>
        <w:rPr>
          <w:rFonts w:ascii="仿宋" w:eastAsia="仿宋" w:hAnsi="仿宋" w:cs="宋体" w:hint="eastAsia"/>
          <w:kern w:val="0"/>
          <w:sz w:val="32"/>
          <w:szCs w:val="32"/>
        </w:rPr>
        <w:t>B</w:t>
      </w:r>
      <w:r>
        <w:rPr>
          <w:rFonts w:ascii="仿宋" w:eastAsia="仿宋" w:hAnsi="仿宋" w:cs="宋体" w:hint="eastAsia"/>
          <w:kern w:val="0"/>
          <w:sz w:val="32"/>
          <w:szCs w:val="32"/>
        </w:rPr>
        <w:t>超、心电图、检验、胃镜、药剂、预防保健等医技科室。拥有</w:t>
      </w:r>
      <w:r>
        <w:rPr>
          <w:rFonts w:ascii="仿宋" w:eastAsia="仿宋" w:hAnsi="仿宋" w:cs="宋体" w:hint="eastAsia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kern w:val="0"/>
          <w:sz w:val="32"/>
          <w:szCs w:val="32"/>
        </w:rPr>
        <w:t>层</w:t>
      </w:r>
      <w:r>
        <w:rPr>
          <w:rFonts w:ascii="仿宋" w:eastAsia="仿宋" w:hAnsi="仿宋" w:cs="宋体" w:hint="eastAsia"/>
          <w:kern w:val="0"/>
          <w:sz w:val="32"/>
          <w:szCs w:val="32"/>
        </w:rPr>
        <w:t>32</w:t>
      </w:r>
      <w:r>
        <w:rPr>
          <w:rFonts w:ascii="仿宋" w:eastAsia="仿宋" w:hAnsi="仿宋" w:cs="宋体" w:hint="eastAsia"/>
          <w:kern w:val="0"/>
          <w:sz w:val="32"/>
          <w:szCs w:val="32"/>
        </w:rPr>
        <w:t>排螺旋</w:t>
      </w:r>
      <w:r>
        <w:rPr>
          <w:rFonts w:ascii="仿宋" w:eastAsia="仿宋" w:hAnsi="仿宋" w:cs="宋体" w:hint="eastAsia"/>
          <w:kern w:val="0"/>
          <w:sz w:val="32"/>
          <w:szCs w:val="32"/>
        </w:rPr>
        <w:t>CT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数字化</w:t>
      </w:r>
      <w:r>
        <w:rPr>
          <w:rFonts w:ascii="仿宋" w:eastAsia="仿宋" w:hAnsi="仿宋" w:cs="宋体" w:hint="eastAsia"/>
          <w:kern w:val="0"/>
          <w:sz w:val="32"/>
          <w:szCs w:val="32"/>
        </w:rPr>
        <w:t>DR</w:t>
      </w:r>
      <w:r>
        <w:rPr>
          <w:rFonts w:ascii="仿宋" w:eastAsia="仿宋" w:hAnsi="仿宋" w:cs="宋体" w:hint="eastAsia"/>
          <w:kern w:val="0"/>
          <w:sz w:val="32"/>
          <w:szCs w:val="32"/>
        </w:rPr>
        <w:t>影像系统、日本奥林巴斯——</w:t>
      </w:r>
      <w:r>
        <w:rPr>
          <w:rFonts w:ascii="仿宋" w:eastAsia="仿宋" w:hAnsi="仿宋" w:cs="宋体" w:hint="eastAsia"/>
          <w:kern w:val="0"/>
          <w:sz w:val="32"/>
          <w:szCs w:val="32"/>
        </w:rPr>
        <w:t>V70</w:t>
      </w:r>
      <w:r>
        <w:rPr>
          <w:rFonts w:ascii="仿宋" w:eastAsia="仿宋" w:hAnsi="仿宋" w:cs="宋体" w:hint="eastAsia"/>
          <w:kern w:val="0"/>
          <w:sz w:val="32"/>
          <w:szCs w:val="32"/>
        </w:rPr>
        <w:t>胃镜、韩国麦迪逊彩色超声诊断仪、心电图机、心电监护仪、全自动血球分析仪、全自动生化分析仪、多功能牵引床、电离子治疗仪、尿十项分析仪、微波治疗仪、膀胱镜、麻醉呼吸机、高频电刀、血糖仪、进口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血凝仪等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医疗设备。开设病床</w:t>
      </w:r>
      <w:r>
        <w:rPr>
          <w:rFonts w:ascii="仿宋" w:eastAsia="仿宋" w:hAnsi="仿宋" w:cs="宋体" w:hint="eastAsia"/>
          <w:kern w:val="0"/>
          <w:sz w:val="32"/>
          <w:szCs w:val="32"/>
        </w:rPr>
        <w:t>98</w:t>
      </w:r>
      <w:r>
        <w:rPr>
          <w:rFonts w:ascii="仿宋" w:eastAsia="仿宋" w:hAnsi="仿宋" w:cs="宋体" w:hint="eastAsia"/>
          <w:kern w:val="0"/>
          <w:sz w:val="32"/>
          <w:szCs w:val="32"/>
        </w:rPr>
        <w:t>张，空调病房</w:t>
      </w:r>
      <w:r>
        <w:rPr>
          <w:rFonts w:ascii="仿宋" w:eastAsia="仿宋" w:hAnsi="仿宋" w:cs="宋体" w:hint="eastAsia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间，爱婴病房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间。</w:t>
      </w:r>
      <w:r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年门诊</w:t>
      </w:r>
      <w:r>
        <w:rPr>
          <w:rFonts w:ascii="仿宋" w:eastAsia="仿宋" w:hAnsi="仿宋" w:cs="宋体" w:hint="eastAsia"/>
          <w:kern w:val="0"/>
          <w:sz w:val="32"/>
          <w:szCs w:val="32"/>
        </w:rPr>
        <w:t>91000</w:t>
      </w:r>
      <w:r>
        <w:rPr>
          <w:rFonts w:ascii="仿宋" w:eastAsia="仿宋" w:hAnsi="仿宋" w:cs="宋体" w:hint="eastAsia"/>
          <w:kern w:val="0"/>
          <w:sz w:val="32"/>
          <w:szCs w:val="32"/>
        </w:rPr>
        <w:t>人次，住院</w:t>
      </w:r>
      <w:r>
        <w:rPr>
          <w:rFonts w:ascii="仿宋" w:eastAsia="仿宋" w:hAnsi="仿宋" w:cs="宋体" w:hint="eastAsia"/>
          <w:kern w:val="0"/>
          <w:sz w:val="32"/>
          <w:szCs w:val="32"/>
        </w:rPr>
        <w:t>4100</w:t>
      </w:r>
      <w:r>
        <w:rPr>
          <w:rFonts w:ascii="仿宋" w:eastAsia="仿宋" w:hAnsi="仿宋" w:cs="宋体" w:hint="eastAsia"/>
          <w:kern w:val="0"/>
          <w:sz w:val="32"/>
          <w:szCs w:val="32"/>
        </w:rPr>
        <w:t>人次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手术</w:t>
      </w:r>
      <w:r>
        <w:rPr>
          <w:rFonts w:ascii="仿宋" w:eastAsia="仿宋" w:hAnsi="仿宋" w:cs="宋体" w:hint="eastAsia"/>
          <w:kern w:val="0"/>
          <w:sz w:val="32"/>
          <w:szCs w:val="32"/>
        </w:rPr>
        <w:t>300</w:t>
      </w:r>
      <w:r>
        <w:rPr>
          <w:rFonts w:ascii="仿宋" w:eastAsia="仿宋" w:hAnsi="仿宋" w:cs="宋体" w:hint="eastAsia"/>
          <w:kern w:val="0"/>
          <w:sz w:val="32"/>
          <w:szCs w:val="32"/>
        </w:rPr>
        <w:t>台次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业务收入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270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sectPr w:rsidR="00345B44">
      <w:footerReference w:type="default" r:id="rId8"/>
      <w:pgSz w:w="11906" w:h="16838"/>
      <w:pgMar w:top="2098" w:right="1474" w:bottom="1928" w:left="1587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C782" w14:textId="77777777" w:rsidR="002A4C43" w:rsidRDefault="002A4C43">
      <w:r>
        <w:separator/>
      </w:r>
    </w:p>
  </w:endnote>
  <w:endnote w:type="continuationSeparator" w:id="0">
    <w:p w14:paraId="2EE4FB32" w14:textId="77777777" w:rsidR="002A4C43" w:rsidRDefault="002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Arial"/>
    <w:charset w:val="00"/>
    <w:family w:val="swiss"/>
    <w:pitch w:val="default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036D" w14:textId="77777777" w:rsidR="00345B44" w:rsidRDefault="002A4C43">
    <w:pPr>
      <w:pStyle w:val="a0"/>
      <w:tabs>
        <w:tab w:val="clear" w:pos="4153"/>
        <w:tab w:val="right" w:pos="8845"/>
      </w:tabs>
    </w:pPr>
    <w:r>
      <w:pict w14:anchorId="085F17B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14:paraId="431DB4CD" w14:textId="77777777" w:rsidR="00345B44" w:rsidRDefault="002A4C43">
                <w:pPr>
                  <w:pStyle w:val="a0"/>
                  <w:ind w:leftChars="200" w:left="420" w:rightChars="200" w:right="420"/>
                  <w:rPr>
                    <w:rFonts w:asciiTheme="minorEastAsia" w:eastAsiaTheme="minorEastAsia" w:hAnsiTheme="minorEastAsia" w:cstheme="minorEastAsia"/>
                    <w:sz w:val="28"/>
                    <w:szCs w:val="4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4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eastAsiaTheme="minorEastAsia"/>
                    <w:sz w:val="28"/>
                    <w:szCs w:val="44"/>
                  </w:rPr>
                  <w:fldChar w:fldCharType="begin"/>
                </w:r>
                <w:r>
                  <w:rPr>
                    <w:rFonts w:eastAsiaTheme="minor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eastAsiaTheme="minorEastAsia"/>
                    <w:sz w:val="28"/>
                    <w:szCs w:val="44"/>
                  </w:rPr>
                  <w:fldChar w:fldCharType="separate"/>
                </w:r>
                <w:r>
                  <w:rPr>
                    <w:rFonts w:eastAsiaTheme="minorEastAsia"/>
                    <w:sz w:val="28"/>
                    <w:szCs w:val="44"/>
                  </w:rPr>
                  <w:t>8</w:t>
                </w:r>
                <w:r>
                  <w:rPr>
                    <w:rFonts w:eastAsiaTheme="minorEastAsia"/>
                    <w:sz w:val="28"/>
                    <w:szCs w:val="44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4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44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2733" w14:textId="77777777" w:rsidR="002A4C43" w:rsidRDefault="002A4C43">
      <w:r>
        <w:separator/>
      </w:r>
    </w:p>
  </w:footnote>
  <w:footnote w:type="continuationSeparator" w:id="0">
    <w:p w14:paraId="00E9B177" w14:textId="77777777" w:rsidR="002A4C43" w:rsidRDefault="002A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BE690"/>
    <w:multiLevelType w:val="singleLevel"/>
    <w:tmpl w:val="56DBE69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F08C1B"/>
    <w:multiLevelType w:val="singleLevel"/>
    <w:tmpl w:val="7DF08C1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C66942"/>
    <w:rsid w:val="0000329B"/>
    <w:rsid w:val="000701F1"/>
    <w:rsid w:val="000C0B3A"/>
    <w:rsid w:val="000F4BAD"/>
    <w:rsid w:val="001152C3"/>
    <w:rsid w:val="001E6D43"/>
    <w:rsid w:val="00214325"/>
    <w:rsid w:val="002A2F3C"/>
    <w:rsid w:val="002A39A0"/>
    <w:rsid w:val="002A4C43"/>
    <w:rsid w:val="002A62E4"/>
    <w:rsid w:val="002D35F0"/>
    <w:rsid w:val="00306333"/>
    <w:rsid w:val="003148E5"/>
    <w:rsid w:val="00345B44"/>
    <w:rsid w:val="00365C69"/>
    <w:rsid w:val="00375329"/>
    <w:rsid w:val="003C127E"/>
    <w:rsid w:val="00414D0C"/>
    <w:rsid w:val="00465FA0"/>
    <w:rsid w:val="004F6CDC"/>
    <w:rsid w:val="00531B4A"/>
    <w:rsid w:val="005C1C75"/>
    <w:rsid w:val="005D4E15"/>
    <w:rsid w:val="006004F5"/>
    <w:rsid w:val="006044D2"/>
    <w:rsid w:val="00604965"/>
    <w:rsid w:val="00616F59"/>
    <w:rsid w:val="007A1077"/>
    <w:rsid w:val="007C73F5"/>
    <w:rsid w:val="00811B2E"/>
    <w:rsid w:val="008323C4"/>
    <w:rsid w:val="008843F1"/>
    <w:rsid w:val="008B1E6E"/>
    <w:rsid w:val="00915FD9"/>
    <w:rsid w:val="009542F5"/>
    <w:rsid w:val="0099348B"/>
    <w:rsid w:val="00A42CDF"/>
    <w:rsid w:val="00A96422"/>
    <w:rsid w:val="00AB0B5B"/>
    <w:rsid w:val="00B255B2"/>
    <w:rsid w:val="00B53F07"/>
    <w:rsid w:val="00B961E1"/>
    <w:rsid w:val="00C573CB"/>
    <w:rsid w:val="00C70B54"/>
    <w:rsid w:val="00C82D81"/>
    <w:rsid w:val="00CF447B"/>
    <w:rsid w:val="00D14552"/>
    <w:rsid w:val="00DD663B"/>
    <w:rsid w:val="00E425C1"/>
    <w:rsid w:val="00EB58F9"/>
    <w:rsid w:val="00FB17A2"/>
    <w:rsid w:val="02890393"/>
    <w:rsid w:val="03C9645A"/>
    <w:rsid w:val="040C3C9D"/>
    <w:rsid w:val="09913BE6"/>
    <w:rsid w:val="0C8126AD"/>
    <w:rsid w:val="0D320F22"/>
    <w:rsid w:val="0DC24415"/>
    <w:rsid w:val="0EB069EB"/>
    <w:rsid w:val="0EDB1CEB"/>
    <w:rsid w:val="11002CEB"/>
    <w:rsid w:val="122D38CA"/>
    <w:rsid w:val="125D41A5"/>
    <w:rsid w:val="13C406CB"/>
    <w:rsid w:val="13E86CDE"/>
    <w:rsid w:val="147B757E"/>
    <w:rsid w:val="14846EE6"/>
    <w:rsid w:val="15592731"/>
    <w:rsid w:val="15D81428"/>
    <w:rsid w:val="15E357B2"/>
    <w:rsid w:val="17400C98"/>
    <w:rsid w:val="186059FE"/>
    <w:rsid w:val="1A5903F7"/>
    <w:rsid w:val="1BB9514F"/>
    <w:rsid w:val="1BBD5AF6"/>
    <w:rsid w:val="1CAD62B9"/>
    <w:rsid w:val="1F657097"/>
    <w:rsid w:val="204826D4"/>
    <w:rsid w:val="20D17AB1"/>
    <w:rsid w:val="212C2CFE"/>
    <w:rsid w:val="2313436E"/>
    <w:rsid w:val="25525A3C"/>
    <w:rsid w:val="25ED19B7"/>
    <w:rsid w:val="261219A8"/>
    <w:rsid w:val="264E44AC"/>
    <w:rsid w:val="26D7155F"/>
    <w:rsid w:val="2BD35E8C"/>
    <w:rsid w:val="2CF00F24"/>
    <w:rsid w:val="3095734B"/>
    <w:rsid w:val="34682BA1"/>
    <w:rsid w:val="37227B5B"/>
    <w:rsid w:val="3A4F2E17"/>
    <w:rsid w:val="3AFB7E1D"/>
    <w:rsid w:val="3B193F53"/>
    <w:rsid w:val="408B2A17"/>
    <w:rsid w:val="40A80846"/>
    <w:rsid w:val="40DD3F67"/>
    <w:rsid w:val="40FA12CB"/>
    <w:rsid w:val="42266AD8"/>
    <w:rsid w:val="427A6ADF"/>
    <w:rsid w:val="43D67F5B"/>
    <w:rsid w:val="446C1B33"/>
    <w:rsid w:val="44DA57EA"/>
    <w:rsid w:val="45B76277"/>
    <w:rsid w:val="47032DDD"/>
    <w:rsid w:val="474B2B1E"/>
    <w:rsid w:val="47670999"/>
    <w:rsid w:val="47CA393E"/>
    <w:rsid w:val="48C4314E"/>
    <w:rsid w:val="490029B7"/>
    <w:rsid w:val="4A8D1323"/>
    <w:rsid w:val="4BAA093E"/>
    <w:rsid w:val="4C312E6D"/>
    <w:rsid w:val="4DA85483"/>
    <w:rsid w:val="4DDD4FB8"/>
    <w:rsid w:val="4E3067A6"/>
    <w:rsid w:val="4F544036"/>
    <w:rsid w:val="4F750EAF"/>
    <w:rsid w:val="50C66942"/>
    <w:rsid w:val="52697EFD"/>
    <w:rsid w:val="55072538"/>
    <w:rsid w:val="552329BC"/>
    <w:rsid w:val="552832E2"/>
    <w:rsid w:val="57283289"/>
    <w:rsid w:val="5C3C147A"/>
    <w:rsid w:val="5D040791"/>
    <w:rsid w:val="5F3920C7"/>
    <w:rsid w:val="61C67987"/>
    <w:rsid w:val="63CA0F6B"/>
    <w:rsid w:val="66C843D1"/>
    <w:rsid w:val="6B887447"/>
    <w:rsid w:val="6C395591"/>
    <w:rsid w:val="6D556AD4"/>
    <w:rsid w:val="6D572306"/>
    <w:rsid w:val="6FD71737"/>
    <w:rsid w:val="706A32DB"/>
    <w:rsid w:val="70A73486"/>
    <w:rsid w:val="712D0B38"/>
    <w:rsid w:val="7191360C"/>
    <w:rsid w:val="730B4CD7"/>
    <w:rsid w:val="74D661E6"/>
    <w:rsid w:val="752C0E7C"/>
    <w:rsid w:val="75DE247D"/>
    <w:rsid w:val="77100129"/>
    <w:rsid w:val="776954DC"/>
    <w:rsid w:val="77AC136B"/>
    <w:rsid w:val="77DE5F16"/>
    <w:rsid w:val="79D10C56"/>
    <w:rsid w:val="7ABE63A4"/>
    <w:rsid w:val="7AD81E6E"/>
    <w:rsid w:val="7C5619E9"/>
    <w:rsid w:val="7DC3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07BC96"/>
  <w15:docId w15:val="{278E87A0-4E6D-4801-AADC-3617AB95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Body Text"/>
    <w:basedOn w:val="a"/>
    <w:uiPriority w:val="1"/>
    <w:qFormat/>
    <w:pPr>
      <w:autoSpaceDE w:val="0"/>
      <w:autoSpaceDN w:val="0"/>
      <w:ind w:left="102"/>
      <w:jc w:val="left"/>
    </w:pPr>
    <w:rPr>
      <w:rFonts w:ascii="Droid Sans Fallback" w:eastAsia="Droid Sans Fallback" w:hAnsi="Droid Sans Fallback"/>
      <w:kern w:val="0"/>
      <w:sz w:val="32"/>
      <w:szCs w:val="32"/>
      <w:lang w:eastAsia="en-US"/>
    </w:rPr>
  </w:style>
  <w:style w:type="paragraph" w:styleId="a6">
    <w:name w:val="Body Text Indent"/>
    <w:basedOn w:val="a"/>
    <w:uiPriority w:val="6"/>
    <w:qFormat/>
    <w:pPr>
      <w:spacing w:after="120"/>
      <w:ind w:left="420"/>
    </w:pPr>
    <w:rPr>
      <w:kern w:val="1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widowControl/>
      <w:wordWrap w:val="0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paragraph" w:customStyle="1" w:styleId="Ab">
    <w:name w:val="正文 A"/>
    <w:qFormat/>
    <w:rPr>
      <w:rFonts w:ascii="Arial Unicode MS" w:hAnsi="Arial Unicode MS" w:cs="Arial Unicode MS"/>
      <w:color w:val="000000"/>
      <w:u w:color="000000"/>
    </w:rPr>
  </w:style>
  <w:style w:type="paragraph" w:customStyle="1" w:styleId="AA0">
    <w:name w:val="正文 A A"/>
    <w:qFormat/>
    <w:pPr>
      <w:framePr w:wrap="around" w:hAnchor="text" w:y="1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31">
    <w:name w:val="font31"/>
    <w:basedOn w:val="a1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2">
    <w:name w:val="正文2"/>
    <w:basedOn w:val="a"/>
    <w:next w:val="a"/>
    <w:qFormat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hasee</cp:lastModifiedBy>
  <cp:revision>38</cp:revision>
  <cp:lastPrinted>2020-06-15T02:09:00Z</cp:lastPrinted>
  <dcterms:created xsi:type="dcterms:W3CDTF">2020-01-08T07:14:00Z</dcterms:created>
  <dcterms:modified xsi:type="dcterms:W3CDTF">2020-06-19T11:49:00Z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