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1"/>
        <w:gridCol w:w="1381"/>
        <w:gridCol w:w="3169"/>
        <w:gridCol w:w="4746"/>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岗位名称</w:t>
            </w:r>
          </w:p>
        </w:tc>
        <w:tc>
          <w:tcPr>
            <w:tcW w:w="138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所属部门</w:t>
            </w:r>
          </w:p>
        </w:tc>
        <w:tc>
          <w:tcPr>
            <w:tcW w:w="3169"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岗位职责</w:t>
            </w:r>
          </w:p>
        </w:tc>
        <w:tc>
          <w:tcPr>
            <w:tcW w:w="4746"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应聘要求</w:t>
            </w:r>
          </w:p>
        </w:tc>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技术骨干</w:t>
            </w:r>
          </w:p>
        </w:tc>
        <w:tc>
          <w:tcPr>
            <w:tcW w:w="138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基建运行部基本建设科</w:t>
            </w:r>
          </w:p>
        </w:tc>
        <w:tc>
          <w:tcPr>
            <w:tcW w:w="3169"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按授权范围从事工程项目的安装现场管理工作</w:t>
            </w:r>
          </w:p>
        </w:tc>
        <w:tc>
          <w:tcPr>
            <w:tcW w:w="4746"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35岁以下，工程类本科以上学历，具备一级建造师或同类专业工程执业资格并有5年工作经验以上者优先</w:t>
            </w:r>
          </w:p>
        </w:tc>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技术骨干</w:t>
            </w:r>
          </w:p>
        </w:tc>
        <w:tc>
          <w:tcPr>
            <w:tcW w:w="138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基建运行部科技园物管办</w:t>
            </w:r>
          </w:p>
        </w:tc>
        <w:tc>
          <w:tcPr>
            <w:tcW w:w="3169"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按要求开展天府科研大楼设施的运行维护和相关资产管理和协调工作</w:t>
            </w:r>
          </w:p>
        </w:tc>
        <w:tc>
          <w:tcPr>
            <w:tcW w:w="4746"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left"/>
            </w:pPr>
            <w:r>
              <w:rPr>
                <w:rFonts w:hint="eastAsia" w:ascii="宋体" w:hAnsi="宋体" w:eastAsia="宋体" w:cs="宋体"/>
                <w:b w:val="0"/>
                <w:color w:val="333333"/>
                <w:sz w:val="21"/>
                <w:szCs w:val="21"/>
                <w:bdr w:val="none" w:color="auto" w:sz="0" w:space="0"/>
              </w:rPr>
              <w:t>35岁以下，工科类研究生及以上学历，具有良好的沟通协调能力并能熟练使用办公软件</w:t>
            </w:r>
          </w:p>
        </w:tc>
        <w:tc>
          <w:tcPr>
            <w:tcW w:w="72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90" w:beforeAutospacing="0" w:line="405" w:lineRule="atLeast"/>
              <w:ind w:left="0" w:right="0" w:firstLine="0"/>
              <w:jc w:val="center"/>
            </w:pPr>
            <w:r>
              <w:rPr>
                <w:rFonts w:hint="eastAsia" w:ascii="宋体" w:hAnsi="宋体" w:eastAsia="宋体" w:cs="宋体"/>
                <w:b w:val="0"/>
                <w:color w:val="333333"/>
                <w:sz w:val="21"/>
                <w:szCs w:val="21"/>
                <w:bdr w:val="none" w:color="auto" w:sz="0" w:space="0"/>
              </w:rPr>
              <w:t>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7004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color w:val="333333"/>
      <w:kern w:val="0"/>
      <w:sz w:val="24"/>
      <w:u w:val="none"/>
      <w:lang w:val="en-US" w:eastAsia="zh-CN" w:bidi="ar"/>
    </w:rPr>
  </w:style>
  <w:style w:type="character" w:styleId="4">
    <w:name w:val="Strong"/>
    <w:basedOn w:val="3"/>
    <w:qFormat/>
    <w:uiPriority w:val="0"/>
    <w:rPr>
      <w:b/>
    </w:rPr>
  </w:style>
  <w:style w:type="character" w:styleId="5">
    <w:name w:val="Hyperlink"/>
    <w:basedOn w:val="3"/>
    <w:uiPriority w:val="0"/>
    <w:rPr>
      <w:color w:val="333333"/>
      <w:sz w:val="18"/>
      <w:szCs w:val="18"/>
      <w:u w:val="none"/>
      <w:shd w:val="clear" w:fill="F0F3FA"/>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2017-04-01T11:02:55Z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