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32"/>
          <w:szCs w:val="32"/>
          <w:bdr w:val="none" w:color="auto" w:sz="0" w:space="0"/>
          <w:lang w:val="en-US" w:eastAsia="zh-CN" w:bidi="ar"/>
        </w:rPr>
        <w:t>宜宾市南溪区事业单位2016年第二次公开招聘工作人员递补进入资格审查人员名单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2182"/>
        <w:gridCol w:w="1853"/>
        <w:gridCol w:w="295"/>
        <w:gridCol w:w="982"/>
        <w:gridCol w:w="262"/>
        <w:gridCol w:w="1582"/>
        <w:gridCol w:w="622"/>
        <w:gridCol w:w="2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仿宋_GB2312" w:hAnsi="sans serif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511521199204090505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宜宾市南溪区乡镇小学幼儿园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16228004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2016123072428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72.53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511526199605180028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宜宾市南溪区乡镇小学幼儿园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16228004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2016123102822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71.66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511523198705157622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宜宾市南溪区马家乡卫生院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16228019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2016123052429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511522199004200921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宜宾市南溪区南溪街道社区卫生服务中心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16228030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2016123090808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511521199304085383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宜宾市南溪区罗龙街道中心卫生院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16228032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2016123090614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909CF"/>
    <w:multiLevelType w:val="multilevel"/>
    <w:tmpl w:val="58C909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400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2017-03-15T09:28:56Z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