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2"/>
          <w:szCs w:val="22"/>
          <w:shd w:val="clear" w:fill="FFFFFF"/>
        </w:rPr>
        <w:instrText xml:space="preserve"> HYPERLINK "http://www.cqhrss.gov.cn/UploadFiles/2010-1/211015250495.xls"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2"/>
          <w:szCs w:val="22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宜宾市城乡规划局2016年下半年公开考试录用参公人员拟录用人员公示表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2"/>
          <w:szCs w:val="22"/>
          <w:shd w:val="clear" w:fill="FFFFFF"/>
        </w:rPr>
        <w:fldChar w:fldCharType="end"/>
      </w:r>
    </w:p>
    <w:tbl>
      <w:tblPr>
        <w:tblpPr w:vertAnchor="text" w:tblpXSpec="left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464"/>
        <w:gridCol w:w="1071"/>
        <w:gridCol w:w="517"/>
        <w:gridCol w:w="523"/>
        <w:gridCol w:w="553"/>
        <w:gridCol w:w="822"/>
        <w:gridCol w:w="1190"/>
        <w:gridCol w:w="830"/>
        <w:gridCol w:w="712"/>
        <w:gridCol w:w="824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拟录用单位及岗位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折合成绩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刘瑀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9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9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9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宜宾市城乡规划监察执法支队执法队员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26150008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9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68.77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93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74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2017-04-26T12:01:11Z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