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1266" w:right="0" w:hanging="1123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宜宾市市属事业单位2017年第一次公开考核招聘工作人员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1266" w:right="0" w:hanging="1123"/>
        <w:jc w:val="center"/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报考人数未达到开考比例岗位调整表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1350" w:right="0" w:hanging="720"/>
        <w:jc w:val="left"/>
      </w:pPr>
      <w:r>
        <w:rPr>
          <w:rFonts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 xml:space="preserve"> 无人报考和未达到开考比例取消岗位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090"/>
        <w:gridCol w:w="1174"/>
        <w:gridCol w:w="1090"/>
        <w:gridCol w:w="1510"/>
        <w:gridCol w:w="1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报名资格审查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调减情况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病理诊断医师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颌面外科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CT/磁共振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心理卫生科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630"/>
        <w:jc w:val="left"/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二、未达到开考比例调减招聘名额岗位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9"/>
        <w:gridCol w:w="1090"/>
        <w:gridCol w:w="1174"/>
        <w:gridCol w:w="1090"/>
        <w:gridCol w:w="1510"/>
        <w:gridCol w:w="1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报名资格审查合格人数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调减情况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调减至招1名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 w:firstLine="645"/>
        <w:jc w:val="left"/>
      </w:pPr>
      <w:r>
        <w:rPr>
          <w:rFonts w:hint="default" w:ascii="仿宋_GB2312" w:hAnsi="宋体" w:eastAsia="仿宋_GB2312" w:cs="仿宋_GB2312"/>
          <w:b/>
          <w:kern w:val="0"/>
          <w:sz w:val="32"/>
          <w:szCs w:val="32"/>
          <w:bdr w:val="none" w:color="auto" w:sz="0" w:space="0"/>
          <w:lang w:val="en-US" w:eastAsia="zh-CN" w:bidi="ar"/>
        </w:rPr>
        <w:t>三、适当放宽开考比例岗位调整情况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101"/>
        <w:gridCol w:w="1186"/>
        <w:gridCol w:w="932"/>
        <w:gridCol w:w="1525"/>
        <w:gridCol w:w="16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报名资格审查合格人数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放宽开考比例后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公卫医师1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公卫医师2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全科医学科医师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医教科工作人员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宜宾电大（市师培中心）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宜宾市教育科学研究所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生物教研员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B71C"/>
    <w:multiLevelType w:val="multilevel"/>
    <w:tmpl w:val="58B6B7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334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2017-03-01T11:55:19Z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