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79" w:type="dxa"/>
        <w:tblInd w:w="0" w:type="dxa"/>
        <w:tblBorders>
          <w:top w:val="single" w:color="17C1A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4"/>
        <w:gridCol w:w="1015"/>
        <w:gridCol w:w="947"/>
        <w:gridCol w:w="753"/>
        <w:gridCol w:w="947"/>
        <w:gridCol w:w="840"/>
        <w:gridCol w:w="1703"/>
        <w:gridCol w:w="1336"/>
        <w:gridCol w:w="1294"/>
      </w:tblGrid>
      <w:tr>
        <w:tblPrEx>
          <w:tblBorders>
            <w:top w:val="single" w:color="17C1A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eastAsia" w:ascii="Arial" w:hAnsi="Arial" w:eastAsia="microsoft yahei ui" w:cs="Arial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microsoft yahei ui" w:cs="Arial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招聘科室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17C1A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microsoft yahei ui" w:cs="Arial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microsoft yahei ui" w:cs="Arial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microsoft yahei ui" w:cs="Arial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microsoft yahei ui" w:cs="Arial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专业名称及方向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资格证书要求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microsoft yahei ui" w:cs="Arial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17C1A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小于等于35岁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临床医学、外科学、内科学、急诊医学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具有临床类执业医师资格证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本科生还需具有住院医师规范化培训结业证书</w:t>
            </w:r>
          </w:p>
        </w:tc>
      </w:tr>
      <w:tr>
        <w:tblPrEx>
          <w:tblBorders>
            <w:top w:val="single" w:color="17C1A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仅限硕士研究生学历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小于30岁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神经外科学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具有临床类执业医师资格证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7C1A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仅限硕士研究学历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小于等于35岁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具有临床类执业医师资格证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7C1A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后勤保障部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水电工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高中及以上学历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小于35岁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电工及相关专业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具有高低压电工操作证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textAlignment w:val="center"/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microsoft yahei ui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 yahei ui">
    <w:altName w:val="Taken by Vultures Alternates D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3E0C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2017-10-12T03:58:07Z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