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  <w:bdr w:val="none" w:color="auto" w:sz="0" w:space="0"/>
        </w:rPr>
        <w:t>四川大学图书馆2017年10月</w:t>
      </w:r>
      <w:bookmarkStart w:id="1" w:name="_GoBack"/>
      <w:r>
        <w:rPr>
          <w:rFonts w:hint="eastAsia"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  <w:bdr w:val="none" w:color="auto" w:sz="0" w:space="0"/>
        </w:rPr>
        <w:t>招聘1名业务发展管理服务启事</w:t>
      </w:r>
    </w:p>
    <w:bookmarkEnd w:id="1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tbl>
      <w:tblPr>
        <w:tblW w:w="90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3"/>
        <w:gridCol w:w="17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岗位类型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教辅岗位（图书资料）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5FAE8F6F96C59ED1" w:hAnsi="5FAE8F6F96C59ED1" w:eastAsia="5FAE8F6F96C59ED1" w:cs="5FAE8F6F96C59ED1"/>
                <w:color w:val="494949"/>
                <w:sz w:val="17"/>
                <w:szCs w:val="17"/>
              </w:rPr>
            </w:pPr>
          </w:p>
        </w:tc>
        <w:tc>
          <w:tcPr>
            <w:tcW w:w="172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17"/>
                <w:szCs w:val="17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经费来源</w:t>
            </w:r>
          </w:p>
        </w:tc>
        <w:tc>
          <w:tcPr>
            <w:tcW w:w="172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17"/>
                <w:szCs w:val="17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17"/>
                <w:szCs w:val="17"/>
              </w:rPr>
            </w:pP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学校经费聘任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业务发展管理服务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聘用期限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承担图书馆发展规划、工作计划、工作总结、各类业务报告、数据统计分析报告的编撰等文秘工作；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参与四川省高校图工委办公室、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CALIS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西南地区中心和四川省中心相关工作；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管理馆长信箱与服务投诉；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承担学会协会相关工作；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其他工作。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招聘条件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具有良好的政治素质和思想品德，遵纪守法，品行端正，身心健康；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国内外高水平大学毕业且具有博士学位，年龄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具备图书情报或人文社科类专业学科背景；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热爱应聘岗位，安心本职工作。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校内人员按学校相关政策执行。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5FAE8F6F96C59ED1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30C8B"/>
    <w:rsid w:val="50530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2017-10-18T03:02:00Z</dcterms:created>
  <dc:creator>ASUS</dc:creator>
  <cp:lastModifiedBy>ASUS</cp:lastModifiedBy>
  <dcterms:modified xsi:type="dcterms:W3CDTF">2017-10-18T03:02:43Z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