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4" w:rsidRDefault="00F800B4" w:rsidP="00F800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-461645</wp:posOffset>
                </wp:positionV>
                <wp:extent cx="736600" cy="474980"/>
                <wp:effectExtent l="0" t="0" r="635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00B4" w:rsidRDefault="00F800B4" w:rsidP="00F800B4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5.55pt;margin-top:-36.35pt;width:5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" stroked="f" strokeweight=".5pt">
                <v:path arrowok="t"/>
                <v:textbox>
                  <w:txbxContent>
                    <w:p w:rsidR="00F800B4" w:rsidRDefault="00F800B4" w:rsidP="00F800B4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身体初检标准</w:t>
      </w:r>
    </w:p>
    <w:p w:rsidR="00F800B4" w:rsidRDefault="00F800B4" w:rsidP="00F800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00B4" w:rsidRDefault="00F800B4" w:rsidP="00F800B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有下列情况之一的，即为不合格：</w:t>
      </w:r>
    </w:p>
    <w:p w:rsidR="00F800B4" w:rsidRDefault="00F800B4" w:rsidP="00F800B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一、腰椎间盘突出、强直性脊柱炎、半月板损伤；</w:t>
      </w:r>
    </w:p>
    <w:p w:rsidR="00F800B4" w:rsidRDefault="00F800B4" w:rsidP="00F800B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二、经常喷血、肾炎、结核病、近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年内患过肝炎；</w:t>
      </w:r>
    </w:p>
    <w:p w:rsidR="00F800B4" w:rsidRDefault="00F800B4" w:rsidP="00F800B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三、遗尿病（近五年常有尿床）、梦游症（睡觉中下床活动自己不知道）；</w:t>
      </w:r>
    </w:p>
    <w:p w:rsidR="00F800B4" w:rsidRDefault="00F800B4" w:rsidP="00F800B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四、国家综合性消防救援队伍消防员招录官方平台《应征公民体格检查标准》中第一条、第二条、第六条、第七条、第八条、第十条、第十一条、第十五条、第二十七条、第三十二条、第三十五条、第三十六条；</w:t>
      </w:r>
    </w:p>
    <w:p w:rsidR="00F800B4" w:rsidRDefault="00F800B4" w:rsidP="00F800B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五、不宜参加剧烈运动的（含体能测试和岗位适应性测试当天）；</w:t>
      </w:r>
    </w:p>
    <w:p w:rsidR="00F800B4" w:rsidRDefault="00F800B4" w:rsidP="00F800B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六、其他严重疾病，身体有明显缺陷、异常。</w:t>
      </w:r>
    </w:p>
    <w:p w:rsidR="00F800B4" w:rsidRDefault="00F800B4" w:rsidP="00F800B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800B4" w:rsidRDefault="00F800B4" w:rsidP="00F800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800B4" w:rsidRDefault="00F800B4" w:rsidP="00F800B4">
      <w:pPr>
        <w:widowControl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lastRenderedPageBreak/>
        <w:t>《应征公民体格检查标准》部分摘要</w:t>
      </w:r>
      <w:bookmarkEnd w:id="0"/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kern w:val="0"/>
          <w:sz w:val="32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第一条</w:t>
      </w: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男性身高160cm以上，女性身高158cm以上，合格。</w:t>
      </w:r>
    </w:p>
    <w:p w:rsidR="00F800B4" w:rsidRDefault="00F800B4" w:rsidP="00F800B4">
      <w:pPr>
        <w:widowControl/>
        <w:spacing w:before="68" w:after="68" w:line="560" w:lineRule="exact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条件兵身高条件按有关标准执行。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第二条</w:t>
      </w: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体重符合下列条件的，合格。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（一）男性：不超过标准体重（标准体重kg＝身高cm-110）的30%，不低于标准体重的15%；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（二）女性：不超过标准体重的20%，不低于标准体重的15%。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第六条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27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肘关节过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伸超过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15度，肘关节外翻超过20度，或虽未超过前述规定但存在功能障碍，不合格。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 xml:space="preserve">第七条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下蹲不全，两下肢不等长超过2cm，膝内翻股骨内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间距离和膝外翻胫骨内踝间距离超过7cm（条件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兵超过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4cm），或虽未超过前述规定但步态异常，不合格。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轻度下蹲不全（膝后夹角≤45度），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除条件兵外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第八条</w:t>
      </w: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手指、足趾残缺或畸形，足底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完全消失的扁平足，重度皲裂症，不合格。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第十条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27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瘢痕体质，面颈部长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径超过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3cm或影响功能的瘢痕，其他部位影响功能的瘢痕，不合格。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 xml:space="preserve">第十一条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面颈部文身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，着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军队制式体能训练服其他裸露部位长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径超过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3cm的文身，其他部位长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径超过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10cm的文身，男性文眉、文眼线、文唇，女性文唇，不合格。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 xml:space="preserve">第十五条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重度腋臭，不合格。轻度腋臭，条件兵不合格。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lastRenderedPageBreak/>
        <w:t xml:space="preserve">第二十七条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影响正常表达的口吃，不合格。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 xml:space="preserve">第三十二条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嗅觉丧失，不合格。嗅觉迟钝，条件兵不合格。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jc w:val="left"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第三十五条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27"/>
        </w:rPr>
        <w:t>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右眼裸眼视力低于4.6，左眼裸眼视力低于4.5，不合格。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任何一眼裸眼视力低于4.8，需进行矫正视力检查，任何一眼矫正视力低于4.8或矫正度数超过600度，不合格。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屈光不正经准分子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激光手术后半年以上，无并发症，任何一眼裸眼视力达到4.8，眼底检查正常，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除条件兵外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条件兵视力合格条件按有关标准执行。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jc w:val="left"/>
        <w:rPr>
          <w:rFonts w:ascii="仿宋_GB2312" w:eastAsia="仿宋_GB2312" w:hAnsi="宋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第三十六条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27"/>
        </w:rPr>
        <w:t>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色弱，色盲，不合格。</w:t>
      </w:r>
    </w:p>
    <w:p w:rsidR="00F800B4" w:rsidRDefault="00F800B4" w:rsidP="00F800B4">
      <w:pPr>
        <w:widowControl/>
        <w:spacing w:before="68" w:after="68" w:line="560" w:lineRule="exact"/>
        <w:ind w:firstLineChars="200" w:firstLine="640"/>
        <w:contextualSpacing/>
        <w:rPr>
          <w:rFonts w:ascii="仿宋" w:eastAsia="仿宋" w:hAnsi="仿宋" w:cs="仿宋" w:hint="eastAsia"/>
          <w:color w:val="000000"/>
          <w:kern w:val="0"/>
          <w:sz w:val="32"/>
          <w:szCs w:val="27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27"/>
        </w:rPr>
        <w:t>能够识别红、绿、黄、蓝、紫各单色者，陆勤人员合格。</w:t>
      </w:r>
    </w:p>
    <w:p w:rsidR="006F2D51" w:rsidRPr="00F800B4" w:rsidRDefault="00F800B4"/>
    <w:sectPr w:rsidR="006F2D51" w:rsidRPr="00F80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B4"/>
    <w:rsid w:val="000F6BE6"/>
    <w:rsid w:val="0016079B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2019-09-16T04:48:00Z</dcterms:created>
  <dcterms:modified xsi:type="dcterms:W3CDTF">2019-09-16T04:49:00Z</dcterms:modified>
</cp:coreProperties>
</file>