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乐山市沙湾区铜河发展（集团）有限公司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简    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乐山市沙湾区铜河发展（集团）有限公司（筹建，以最终登记名称为准）是乐山市沙湾区财政局代表区政府履行出资人职责的国有独资公司，是构建沙湾区“1+3+n”国有资本投融资体系的基础；是构筑沙湾区国资“一盘棋”，打造沙湾经济社会发展“新引擎”的重要载体；是盘活沙湾区国有股权、债权等资产，促进国有资本合理流动，改善国有资本的分布结构和质量效益的实施主体。公司将集聚全区优质国有资源，以股权运作、价值管理、国有资本有序进退为手段，实现在更大范围、更高层次、更宽领域引领国有资本。公司下设农旅、资源和基建三大板块公司，紧扣区委区政府“十四五”发展规划经济社会民生重点，在全面建设社会主义现代化新沙湾中发挥引领带动作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819DE"/>
    <w:rsid w:val="6B0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2021-12-03T09:49:00Z</dcterms:created>
  <dc:creator>人鱼水兽</dc:creator>
  <cp:lastModifiedBy>人鱼水兽</cp:lastModifiedBy>
  <dcterms:modified xsi:type="dcterms:W3CDTF">2021-12-03T09:50:29Z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3C39FC0116084BF5B3EC3E6F836EAC5B</vt:lpwstr>
  </property>
</Properties>
</file>