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" w:beforeLines="10" w:after="31" w:afterLines="1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before="31" w:beforeLines="10" w:after="31" w:afterLines="10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岗位需求表（公开招聘）</w:t>
      </w:r>
    </w:p>
    <w:tbl>
      <w:tblPr>
        <w:tblStyle w:val="7"/>
        <w:tblW w:w="13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561"/>
        <w:gridCol w:w="707"/>
        <w:gridCol w:w="415"/>
        <w:gridCol w:w="692"/>
        <w:gridCol w:w="1096"/>
        <w:gridCol w:w="1362"/>
        <w:gridCol w:w="2106"/>
        <w:gridCol w:w="5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招聘数量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招聘方式</w:t>
            </w:r>
          </w:p>
        </w:tc>
        <w:tc>
          <w:tcPr>
            <w:tcW w:w="1021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10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564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（主要包括证书或职称、工作经历、职业素质与职业能力等方面的要求）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路桥公司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项目部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施工负责人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45周岁（含）以下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1、本科：土木类、工程管理、工程造价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2、硕士及以上：土木工程</w:t>
            </w:r>
          </w:p>
        </w:tc>
        <w:tc>
          <w:tcPr>
            <w:tcW w:w="564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1、具有3年及以上工程项目相关工作经验，具有同等岗位任职经历，精通公路、桥梁、隧道、市政施工管理专业技术知识与实际操作，具备扎实的工程预算、结算等专业知识，熟悉相关工程施工、工序、流程；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2、熟练使用CAD制图、office办公软件及预算软件的应用，沟通协调能力强；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具有中级及以上专业技术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建造师执业资格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者学历可放宽至专科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路桥公司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项目部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机械负责人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45周岁（含）以下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1、本科：机械设计制造类、机电设备类、自动化类、道路桥梁工程技术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2、硕士及以上：机械工程</w:t>
            </w:r>
          </w:p>
        </w:tc>
        <w:tc>
          <w:tcPr>
            <w:tcW w:w="564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1、具有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年及以上高速公路、铁路、市政、桥梁项目物资设备管理工作经验，具有同等岗位任职经历，具有较强的沟通能力、判断分析能力，能熟练编制物资设备报表；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具有中级及以上专业技术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建造师执业资格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者学历可放宽至专科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路桥公司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项目部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施工员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40周岁（含）以下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1、本科：土木类、工程管理、工程造价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2、硕士及以上：土木工程</w:t>
            </w:r>
          </w:p>
        </w:tc>
        <w:tc>
          <w:tcPr>
            <w:tcW w:w="564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具有2年及以上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公路、桥梁、隧道、市政施工管理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，具备扎实的工程预算、结算等专业知识，熟悉相关工程施工、工序、流程，沟通协调能力强；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具有中级及以上专业技术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建造师执业资格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者学历可放宽至专科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路桥公司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项目部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材料员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40周岁（含）以下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1、本科：土木类、工程管理、工程造价、会计学、统计学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2、硕士及以上：土木工程</w:t>
            </w:r>
          </w:p>
        </w:tc>
        <w:tc>
          <w:tcPr>
            <w:tcW w:w="564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具有2年及以上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工程造价管理、成本核算、预算结算、审计等相关工作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经验，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熟悉国家相关商务、合同等法规政策；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具有中级及以上专业技术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建造师执业资格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者学历可放宽至专科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3、具有全日制本科及以上学历且2022年毕业的高校大学生，不受工作经验限制。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路桥公司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项目部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机械员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40周岁（含）以下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1、本科：机械类、土木类、经济与贸易类、市场营销类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2、硕士及以上：土木工程</w:t>
            </w:r>
          </w:p>
        </w:tc>
        <w:tc>
          <w:tcPr>
            <w:tcW w:w="564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1、具有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2年及以上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物资设备经营采购管理工作经验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具有较强的沟通能力、判断分析能力，能熟练编制物资设备报表；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具有全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日制本科及以上学历且2022年毕业的高校大学生，不受工作经验限制。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路桥公司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项目部资料员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40周岁（含）以下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64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auto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、具有2年及以上工程造价、工程资料、档案管理相关工作经验，具有较强的学习、理解和执行力，廉洁奉公，具备良好的职业操守，工作严谨细致、责任心强、逻辑思维强，具备良好的沟通能力与团队合作能力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2、具有资料员、档案管理员相关证书者优先。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路桥公司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项目部安全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员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40周岁（含）以下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64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1、具有2年及以上工程项目安全相关工作经验，具备良好的沟通、协调能力，具有严谨的行为规范，能承受一定工作压力；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2、具有中级及以上专业技术职称或持有安全员或建安、交安证B/C证者学历可放宽至专科。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rPr>
          <w:color w:val="auto"/>
        </w:rPr>
      </w:pPr>
    </w:p>
    <w:p>
      <w:pPr>
        <w:pStyle w:val="9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9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9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-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before="31" w:beforeLines="10" w:after="31" w:afterLines="10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岗位需求表（考察聘用）</w:t>
      </w:r>
    </w:p>
    <w:tbl>
      <w:tblPr>
        <w:tblStyle w:val="7"/>
        <w:tblW w:w="13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561"/>
        <w:gridCol w:w="707"/>
        <w:gridCol w:w="415"/>
        <w:gridCol w:w="692"/>
        <w:gridCol w:w="1096"/>
        <w:gridCol w:w="1362"/>
        <w:gridCol w:w="2106"/>
        <w:gridCol w:w="5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招聘岗位</w:t>
            </w:r>
          </w:p>
        </w:tc>
        <w:tc>
          <w:tcPr>
            <w:tcW w:w="41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招聘数量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招聘方式</w:t>
            </w:r>
          </w:p>
        </w:tc>
        <w:tc>
          <w:tcPr>
            <w:tcW w:w="102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年龄要求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学历要求</w:t>
            </w:r>
          </w:p>
        </w:tc>
        <w:tc>
          <w:tcPr>
            <w:tcW w:w="210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专业要求</w:t>
            </w:r>
          </w:p>
        </w:tc>
        <w:tc>
          <w:tcPr>
            <w:tcW w:w="56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其他资格条件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（主要包括证书或职称、工作经历、职业素质与职业能力等方面的要求）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1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路桥公司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机关工程部部长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45周岁（含）以下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1、本科：土木类、工程管理、工程造价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2、硕士及以上：土木工程</w:t>
            </w:r>
          </w:p>
        </w:tc>
        <w:tc>
          <w:tcPr>
            <w:tcW w:w="564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具有高级工程师专业技术职称或一级建造师执业资格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2、具有3年及以上同等岗位工作经验，沟通协调能力强，精通公路、桥梁、隧道、市政施工管理专业技术知识与实际操作，具备扎实的工程预算、结算等专业知识，熟悉相关工程施工、工序、流程；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3、熟练使用CAD制图、office办公软件及预算软件的应用，熟练使用造价、预算软件。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路桥公司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项目部经理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2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1、本科：土木类、工程管理、工程造价、道路桥梁工程、交通土建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2、硕士及以上：土木工程</w:t>
            </w:r>
          </w:p>
        </w:tc>
        <w:tc>
          <w:tcPr>
            <w:tcW w:w="564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具有中级工程师及以上专业技术职称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级建造师及以上执业资格；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2、具有5年及以上工程项目相关工作经验，具有同等岗位2年及以上任职经历，具有较强统筹和驾驭项目全面管理的能力，具备良好的职业道德，工作责任心强；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3、具有高级工程师专业技术职称者学历可放宽至专科。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路桥公司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项目部总工程师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2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1、本科：土木类、建设工程管理、工程管理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工程造价、道路桥梁工程技术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、硕士及以上：土木工程</w:t>
            </w:r>
          </w:p>
        </w:tc>
        <w:tc>
          <w:tcPr>
            <w:tcW w:w="564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1、具有中级工程师及以上专业技术职称或二级建造师及以上执业资格；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2、具有5年及以上工程项目相关工作经验，具有同等岗位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或项目部领导岗位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 xml:space="preserve">2年及以上任职经历，具有较强施工组织及综合协调能力，具有良好沟通能力与团队合作精神，工作责任心强； </w:t>
            </w:r>
          </w:p>
          <w:p>
            <w:pPr>
              <w:pStyle w:val="2"/>
              <w:rPr>
                <w:color w:va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bidi="ar"/>
              </w:rPr>
              <w:t>3、具有高级工程师专业技术职称者学历可放宽至专科。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路桥公司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项目部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材料负责人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45周岁（含）以下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1、本科：土木类、工程管理、建设工程管理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工程造价、道路桥梁工程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、硕士及以上：土木工程</w:t>
            </w:r>
          </w:p>
        </w:tc>
        <w:tc>
          <w:tcPr>
            <w:tcW w:w="5648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具有中级工程师及以上专业技术职称或一级造价师（交通运输专业）执业资格证；</w:t>
            </w:r>
          </w:p>
          <w:p>
            <w:pPr>
              <w:widowControl/>
              <w:numPr>
                <w:ilvl w:val="255"/>
                <w:numId w:val="0"/>
              </w:numPr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2、具有3年及以上工程造价、成本控制相关工作经验，公路工程专业知识丰富，熟悉工程造价管理、成本核算、预算结算、审计等相关工作，熟悉工程行业相关政策及法律法规。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路桥公司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项目部安全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负责人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45周岁（含）以下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1、本科：土木类、工程管理、建设工程管理、工程造价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道路桥梁工程技术、隧道工程技术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、硕士及以上：土木工程</w:t>
            </w:r>
          </w:p>
        </w:tc>
        <w:tc>
          <w:tcPr>
            <w:tcW w:w="564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1、具有中级工程师及以上专业技术职称； 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2、持有安全员或建安、交安证B/C证；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3、具有3年及以上安全环保相关工作经验，具有相关部门负责人（含副职）任职经历，具备良好的沟通、协调能力，具有严谨的行为规范，能承受一定工作压力。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pStyle w:val="9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608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3" w:type="first"/>
      <w:footerReference r:id="rId5" w:type="first"/>
      <w:footerReference r:id="rId4" w:type="default"/>
      <w:pgSz w:w="16838" w:h="11906" w:orient="landscape"/>
      <w:pgMar w:top="1587" w:right="2098" w:bottom="1474" w:left="1984" w:header="851" w:footer="992" w:gutter="0"/>
      <w:paperSrc/>
      <w:pgNumType w:fmt="numberInDash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3258A7-8086-4956-88F9-8D755DEEED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0615FEB-798D-41AC-8AE5-B64A2F311B0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A3C9415-9BA1-4B6F-B7CB-C856A79331E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380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nkO9MQAgAACQQAAA4AAABkcnMvZTJvRG9jLnhtbK1TzY7TMBC+I/EO&#10;lu80aRGrUj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Z5DvT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pBx08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EpBx08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JVx3w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OJVx3w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oYlDwQAgAACQQAAA4AAABkcnMvZTJvRG9jLnhtbK1TzY7TMBC+I/EO&#10;lu80aVes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KGJQ8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D4FFAA"/>
    <w:multiLevelType w:val="singleLevel"/>
    <w:tmpl w:val="AFD4FFA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9D49B43"/>
    <w:multiLevelType w:val="singleLevel"/>
    <w:tmpl w:val="69D49B4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TrueTypeFonts/>
  <w:saveSubsetFonts/>
  <w:documentProtection w:enforcement="0"/>
  <w:defaultTabStop w:val="420"/>
  <w:drawingGridHorizontalSpacing w:val="105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YmI3NDdhYmIyMzUzOWJlNzhjMDIzNzIxNGViMTcifQ=="/>
  </w:docVars>
  <w:rsids>
    <w:rsidRoot w:val="092A3BFE"/>
    <w:rsid w:val="00015287"/>
    <w:rsid w:val="000310B4"/>
    <w:rsid w:val="000314F7"/>
    <w:rsid w:val="00053F0D"/>
    <w:rsid w:val="000D4292"/>
    <w:rsid w:val="00154059"/>
    <w:rsid w:val="001861AA"/>
    <w:rsid w:val="001C67CB"/>
    <w:rsid w:val="001E1802"/>
    <w:rsid w:val="002643DA"/>
    <w:rsid w:val="00274F19"/>
    <w:rsid w:val="00283CD9"/>
    <w:rsid w:val="0028701A"/>
    <w:rsid w:val="002B13AC"/>
    <w:rsid w:val="002D0284"/>
    <w:rsid w:val="002D451A"/>
    <w:rsid w:val="002F631F"/>
    <w:rsid w:val="00323EEA"/>
    <w:rsid w:val="00372B29"/>
    <w:rsid w:val="00492839"/>
    <w:rsid w:val="00522F38"/>
    <w:rsid w:val="005258A1"/>
    <w:rsid w:val="00593759"/>
    <w:rsid w:val="005B743E"/>
    <w:rsid w:val="00633168"/>
    <w:rsid w:val="00662417"/>
    <w:rsid w:val="006C6CFA"/>
    <w:rsid w:val="006E497D"/>
    <w:rsid w:val="006E7D06"/>
    <w:rsid w:val="00741D9D"/>
    <w:rsid w:val="00763BB7"/>
    <w:rsid w:val="007B55D9"/>
    <w:rsid w:val="00847B3D"/>
    <w:rsid w:val="00863185"/>
    <w:rsid w:val="0088077A"/>
    <w:rsid w:val="00980827"/>
    <w:rsid w:val="009970C8"/>
    <w:rsid w:val="009D1603"/>
    <w:rsid w:val="009F640F"/>
    <w:rsid w:val="00A3355F"/>
    <w:rsid w:val="00AB7A89"/>
    <w:rsid w:val="00AD1E5D"/>
    <w:rsid w:val="00B04DBB"/>
    <w:rsid w:val="00B115F7"/>
    <w:rsid w:val="00B240A3"/>
    <w:rsid w:val="00B25B39"/>
    <w:rsid w:val="00B515F9"/>
    <w:rsid w:val="00B5435F"/>
    <w:rsid w:val="00D40FB2"/>
    <w:rsid w:val="00D56EE3"/>
    <w:rsid w:val="00D96F59"/>
    <w:rsid w:val="00DD1E14"/>
    <w:rsid w:val="00E83184"/>
    <w:rsid w:val="00EA7E3A"/>
    <w:rsid w:val="00EC17EE"/>
    <w:rsid w:val="00F6196C"/>
    <w:rsid w:val="00F745D4"/>
    <w:rsid w:val="00F86589"/>
    <w:rsid w:val="00F93901"/>
    <w:rsid w:val="00FB4071"/>
    <w:rsid w:val="00FB505E"/>
    <w:rsid w:val="00FD5CAC"/>
    <w:rsid w:val="038068F9"/>
    <w:rsid w:val="07641605"/>
    <w:rsid w:val="092A3BFE"/>
    <w:rsid w:val="0D7724EF"/>
    <w:rsid w:val="0DBC0BE4"/>
    <w:rsid w:val="0F08313B"/>
    <w:rsid w:val="0FE629B2"/>
    <w:rsid w:val="0FE85A74"/>
    <w:rsid w:val="100318D9"/>
    <w:rsid w:val="10BF0857"/>
    <w:rsid w:val="12350133"/>
    <w:rsid w:val="12FE2D4A"/>
    <w:rsid w:val="13487161"/>
    <w:rsid w:val="138368B2"/>
    <w:rsid w:val="145952CF"/>
    <w:rsid w:val="15062F5C"/>
    <w:rsid w:val="17F83D3C"/>
    <w:rsid w:val="1A2626F7"/>
    <w:rsid w:val="1A4A0E6B"/>
    <w:rsid w:val="1AAF6E37"/>
    <w:rsid w:val="1B613F87"/>
    <w:rsid w:val="21F4287B"/>
    <w:rsid w:val="227727A2"/>
    <w:rsid w:val="227E442B"/>
    <w:rsid w:val="24985358"/>
    <w:rsid w:val="25BA46A0"/>
    <w:rsid w:val="25DF6A38"/>
    <w:rsid w:val="26DB439A"/>
    <w:rsid w:val="278F5092"/>
    <w:rsid w:val="28575C58"/>
    <w:rsid w:val="2A451D85"/>
    <w:rsid w:val="2ABA6B51"/>
    <w:rsid w:val="2BD857E1"/>
    <w:rsid w:val="2C933D03"/>
    <w:rsid w:val="2D3C5EC6"/>
    <w:rsid w:val="2EE81218"/>
    <w:rsid w:val="306F348F"/>
    <w:rsid w:val="30F966D7"/>
    <w:rsid w:val="327546C8"/>
    <w:rsid w:val="32F83876"/>
    <w:rsid w:val="34207DCD"/>
    <w:rsid w:val="371957D9"/>
    <w:rsid w:val="3A2808B4"/>
    <w:rsid w:val="3CD33455"/>
    <w:rsid w:val="3D450582"/>
    <w:rsid w:val="3D66013E"/>
    <w:rsid w:val="3DA13E08"/>
    <w:rsid w:val="3EBB0132"/>
    <w:rsid w:val="3F8C323D"/>
    <w:rsid w:val="404D74F0"/>
    <w:rsid w:val="40963B70"/>
    <w:rsid w:val="426D1246"/>
    <w:rsid w:val="42A31B84"/>
    <w:rsid w:val="4717492A"/>
    <w:rsid w:val="49C93865"/>
    <w:rsid w:val="4AFC066E"/>
    <w:rsid w:val="4BA765FF"/>
    <w:rsid w:val="4BDD112D"/>
    <w:rsid w:val="4C0A5BDD"/>
    <w:rsid w:val="4D014FF3"/>
    <w:rsid w:val="4E4E6169"/>
    <w:rsid w:val="4EC01EF1"/>
    <w:rsid w:val="4F3D6349"/>
    <w:rsid w:val="4F6D50F0"/>
    <w:rsid w:val="51311A9C"/>
    <w:rsid w:val="520F63D0"/>
    <w:rsid w:val="52320BC8"/>
    <w:rsid w:val="53145461"/>
    <w:rsid w:val="535D79EA"/>
    <w:rsid w:val="5361694A"/>
    <w:rsid w:val="536D7D42"/>
    <w:rsid w:val="53C34FE7"/>
    <w:rsid w:val="54C76A4E"/>
    <w:rsid w:val="5545266D"/>
    <w:rsid w:val="55936954"/>
    <w:rsid w:val="55EB0EC9"/>
    <w:rsid w:val="570E2AF9"/>
    <w:rsid w:val="58A85AB2"/>
    <w:rsid w:val="59744760"/>
    <w:rsid w:val="59D85755"/>
    <w:rsid w:val="5B5A36A9"/>
    <w:rsid w:val="5B6B68E1"/>
    <w:rsid w:val="5BAE158B"/>
    <w:rsid w:val="5BD8256C"/>
    <w:rsid w:val="5D2061C6"/>
    <w:rsid w:val="5DFE1CFF"/>
    <w:rsid w:val="5EC95C84"/>
    <w:rsid w:val="5F3A76C2"/>
    <w:rsid w:val="5F4F4F0C"/>
    <w:rsid w:val="5F7E094F"/>
    <w:rsid w:val="602D42E6"/>
    <w:rsid w:val="616B7F05"/>
    <w:rsid w:val="61AB48DF"/>
    <w:rsid w:val="63047BB7"/>
    <w:rsid w:val="63E462B4"/>
    <w:rsid w:val="64BC09F8"/>
    <w:rsid w:val="659743F5"/>
    <w:rsid w:val="65BE3F0E"/>
    <w:rsid w:val="66673170"/>
    <w:rsid w:val="67476E5E"/>
    <w:rsid w:val="683676A1"/>
    <w:rsid w:val="68C17122"/>
    <w:rsid w:val="6A94358F"/>
    <w:rsid w:val="6C3C0A82"/>
    <w:rsid w:val="6C9D138F"/>
    <w:rsid w:val="6CBE17CB"/>
    <w:rsid w:val="6F4137C2"/>
    <w:rsid w:val="70441E9E"/>
    <w:rsid w:val="70D81D4A"/>
    <w:rsid w:val="70DD46E0"/>
    <w:rsid w:val="71797EFC"/>
    <w:rsid w:val="72114C29"/>
    <w:rsid w:val="740B439A"/>
    <w:rsid w:val="75C31CB1"/>
    <w:rsid w:val="77BF19D0"/>
    <w:rsid w:val="77E05FD0"/>
    <w:rsid w:val="78A90BFB"/>
    <w:rsid w:val="79CB2CE8"/>
    <w:rsid w:val="7A0A7249"/>
    <w:rsid w:val="7A257FEE"/>
    <w:rsid w:val="7B3D5761"/>
    <w:rsid w:val="7B6C2117"/>
    <w:rsid w:val="7BA80DD5"/>
    <w:rsid w:val="7C2E74A5"/>
    <w:rsid w:val="7C5C70D4"/>
    <w:rsid w:val="7DFE0609"/>
    <w:rsid w:val="7E91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cs="Times New Roman"/>
      <w:kern w:val="0"/>
      <w:sz w:val="20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2"/>
    <w:basedOn w:val="1"/>
    <w:next w:val="1"/>
    <w:qFormat/>
    <w:uiPriority w:val="0"/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BodyText"/>
    <w:next w:val="1"/>
    <w:qFormat/>
    <w:uiPriority w:val="0"/>
    <w:pPr>
      <w:widowControl w:val="0"/>
      <w:spacing w:before="43"/>
      <w:ind w:left="120" w:firstLine="640"/>
      <w:jc w:val="both"/>
      <w:textAlignment w:val="baseline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customStyle="1" w:styleId="14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5035</Words>
  <Characters>5158</Characters>
  <Lines>50</Lines>
  <Paragraphs>14</Paragraphs>
  <TotalTime>2</TotalTime>
  <ScaleCrop>false</ScaleCrop>
  <LinksUpToDate>false</LinksUpToDate>
  <CharactersWithSpaces>5281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2021-01-19T05:40:00Z</dcterms:created>
  <dc:creator>叶落黄</dc:creator>
  <cp:lastModifiedBy>王然</cp:lastModifiedBy>
  <cp:lastPrinted>2022-10-10T07:22:00Z</cp:lastPrinted>
  <dcterms:modified xsi:type="dcterms:W3CDTF">2022-10-18T02:02:07Z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DEA2A5912FC04BD792179275D71C52CF</vt:lpwstr>
  </property>
</Properties>
</file>