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inorEastAsia"/>
          <w:sz w:val="44"/>
          <w:szCs w:val="44"/>
        </w:rPr>
        <w:t>资阳市人民医院考核招聘岗位和条件要求一览表</w:t>
      </w:r>
      <w:bookmarkEnd w:id="0"/>
    </w:p>
    <w:tbl>
      <w:tblPr>
        <w:tblStyle w:val="2"/>
        <w:tblW w:w="151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01"/>
        <w:gridCol w:w="634"/>
        <w:gridCol w:w="1056"/>
        <w:gridCol w:w="565"/>
        <w:gridCol w:w="4302"/>
        <w:gridCol w:w="1418"/>
        <w:gridCol w:w="1402"/>
        <w:gridCol w:w="1592"/>
        <w:gridCol w:w="831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 w:hAnsi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主管部门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经费渠道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岗位类别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代码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招聘名额</w:t>
            </w:r>
          </w:p>
        </w:tc>
        <w:tc>
          <w:tcPr>
            <w:tcW w:w="8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招聘条件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人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职称要求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学历要求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专业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年  龄</w:t>
            </w: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资阳市卫生健康委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员会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财政差额拨款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专业技术岗位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202101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具有外科专业副高级及以上专业技术职务任职资格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大学本科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临床医学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50周岁及以下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李琼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028-26782605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202102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具有普通外科专业副高级及以上专业技术职务任职资格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大学本科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临床医学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50周岁及以下</w:t>
            </w: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202103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具有耳鼻喉（头颈外科）专业副高级及以上专业技术职务任职资格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大学本科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临床医学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50周岁及以下</w:t>
            </w: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F7822"/>
    <w:rsid w:val="20B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2021-09-08T09:07:00Z</dcterms:created>
  <dc:creator>Administrator</dc:creator>
  <cp:lastModifiedBy>Administrator</cp:lastModifiedBy>
  <dcterms:modified xsi:type="dcterms:W3CDTF">2021-09-08T09:08:33Z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