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招聘子公司简介</w:t>
      </w:r>
    </w:p>
    <w:p>
      <w:pPr>
        <w:bidi w:val="0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自贡建工建设工程有限公司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自贡建工建设工程有限公司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自贡市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城投集团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子公司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</w:rPr>
        <w:t>注册资本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主营业务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涵盖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房屋建筑工程、市政公用工程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土石方工程、建筑装饰装修工程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房地产开发等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国家一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</w:rPr>
        <w:t>级总承包施工资质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集投融建一体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具有二十多年施工经验。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公司坚持诚信为本、追求卓越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的企业理念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践行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以精品筑形象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同城市共发展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的企业价值观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承接了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自贡市多项重大工程项目，赢得了良好的业界口碑及社会声誉。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自贡鑫景城实业有限公司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自贡鑫景城实业有限公司注册资本5亿元，具有工程项目代建管理一级资质和房地产开发资质，专注从事城市基础设施建设、工程项目管理、建设工程招标代理、咨询、城市规划咨询及技术开发、工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程监理、设计以及测量等业务。公司坚持以人为本、诚信立业的经营理念，以市场为导向，牢固树立“建一项工程，树一座丰碑”的精品意识，荟萃管理人才，先后承建有100多项城市基础设施建设项目，注重技术创新，守合同重信誉，积极向多元化市场经营转型发展，致力人才兴企，铸就品牌。</w:t>
      </w:r>
    </w:p>
    <w:p>
      <w:pPr>
        <w:bidi w:val="0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自贡市嘉盛粮油产业发展有限公司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自贡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市嘉盛粮油产业发展有限公司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自贡市唯一的市本级国有粮油企业，位于贡井区筱溪街。公司成立于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2019年1月，是由原自贡市五家国有粮油企业合并而成，注册资本3亿元，主要从事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粮油购销、粮油储备、资产运营等业务，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系自贡市城投集团公司全资子公司。</w:t>
      </w:r>
    </w:p>
    <w:p>
      <w:pPr>
        <w:bidi w:val="0"/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自贡城投集团，诚邀有志之士加盟共创未来。</w:t>
      </w:r>
    </w:p>
    <w:p>
      <w:pPr>
        <w:bidi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altName w:val="Segoe Print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25B0"/>
    <w:rsid w:val="0CA0312C"/>
    <w:rsid w:val="176D1757"/>
    <w:rsid w:val="333B4811"/>
    <w:rsid w:val="340B1F2D"/>
    <w:rsid w:val="57615B33"/>
    <w:rsid w:val="627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2019-09-06T03:21:50Z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