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附件：</w:t>
      </w:r>
    </w:p>
    <w:tbl>
      <w:tblPr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6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vertAlign w:val="baseline"/>
                <w:lang w:val="en-US" w:eastAsia="zh-CN" w:bidi="ar"/>
              </w:rPr>
              <w:t>提供获奖材料要求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项  目</w:t>
            </w:r>
          </w:p>
        </w:tc>
        <w:tc>
          <w:tcPr>
            <w:tcW w:w="6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内   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德育工作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在班主任、辅导员工作中，被评为国家、省、市、县各级优秀班主任、优秀德育工作者、优秀辅导员等类似荣誉。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赛  课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48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在赛课（说课、微课和技能大赛）活动中获得省级三等奖、地市级二等奖或区（县）一等奖及以上的。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论文论著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教学论文在国家级、省级、市级专业核心刊物发表。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荣誉称号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获国家级、省级、市级、县级党委、政府、行政部门表彰的荣誉。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获得过地市级及以上骨干教师、优秀班主任、学科（技能）带头人、特级教师荣誉称号的。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指导教师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属区县级及以上名师工作室领衔人（导师）的。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在指导教师方面获可提供相关印证材料。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2019-06-28T08:22:04Z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