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巴中市巴州区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2019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年招聘特岗教师日程安排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6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公布面试成绩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公示体检人员名单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体检。参加体检人员于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2019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5"/>
                <w:sz w:val="31"/>
                <w:szCs w:val="31"/>
                <w:bdr w:val="none" w:color="auto" w:sz="0" w:space="0"/>
              </w:rPr>
              <w:t>点空腹到巴州区教科体局一楼大厅集中，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由区教科体局派员带到医院体检。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公布聘用人员名单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29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岗前培训、选岗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选岗、签订服务协议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特岗教师到派遣学校报到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2019-06-28T08:02:47Z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