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6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393"/>
              <w:jc w:val="left"/>
              <w:textAlignment w:val="baseline"/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vertAlign w:val="baseline"/>
                <w:lang w:val="en-US" w:eastAsia="zh-CN" w:bidi="ar"/>
              </w:rPr>
              <w:t>提供获奖材料的要求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              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项  目</w:t>
            </w:r>
          </w:p>
        </w:tc>
        <w:tc>
          <w:tcPr>
            <w:tcW w:w="6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内   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德育工作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在班主任、辅导员工作中，被评为国家、省、市、县各级优秀班主任、优秀德育工作者、优秀辅导员等类似荣誉。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赛  课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在赛课（说课、微课和技能大赛）活动中获得省级三等奖、地市级二等奖或区（县）一等奖及以上的。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论文论著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教学论文在国家级、省级、市级专业核心刊物发表。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荣誉称号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获国家级、省级、市级、县级党委、政府、行政部门表彰的荣誉。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获得过地市级及以上骨干教师、优秀班主任、学科（技能）带头人、特级教师荣誉称号的。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指导教师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属区县级及以上名师工作室领衔人（导师）的。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在指导教师方面获可提供相关印证材料。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2020-07-23T05:26:48Z</dcterms:created>
  <dc:creator>Thinkpad</dc:creator>
  <cp:lastModifiedBy>Thinkpad</cp:lastModifiedBy>
  <dcterms:modified xsi:type="dcterms:W3CDTF">2020-07-23T05:26:55Z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