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5"/>
        <w:rPr>
          <w:rFonts w:hint="eastAsia" w:ascii="Times New Roman" w:hAnsi="Times New Roman" w:eastAsia="方正黑体_GBK" w:cs="方正黑体_GBK"/>
          <w:color w:val="000000"/>
          <w:kern w:val="0"/>
          <w:sz w:val="33"/>
          <w:szCs w:val="33"/>
          <w:lang w:bidi="ar"/>
        </w:rPr>
      </w:pPr>
      <w:r>
        <w:rPr>
          <w:rFonts w:hint="eastAsia" w:ascii="Times New Roman" w:hAnsi="Times New Roman" w:eastAsia="方正黑体_GBK" w:cs="方正黑体_GBK"/>
          <w:color w:val="000000"/>
          <w:kern w:val="0"/>
          <w:sz w:val="33"/>
          <w:szCs w:val="33"/>
          <w:lang w:bidi="ar"/>
        </w:rPr>
        <w:t>附件1</w:t>
      </w:r>
    </w:p>
    <w:p>
      <w:pPr>
        <w:spacing w:after="156" w:afterLines="50" w:line="590" w:lineRule="exact"/>
        <w:ind w:right="6"/>
        <w:jc w:val="center"/>
        <w:rPr>
          <w:rFonts w:ascii="Times New Roman" w:hAnsi="Times New Roman" w:eastAsia="方正小标宋_GBK" w:cs="方正小标宋_GBK"/>
          <w:b/>
          <w:bCs/>
          <w:color w:val="000000"/>
          <w:kern w:val="0"/>
          <w:sz w:val="40"/>
          <w:szCs w:val="36"/>
          <w:lang w:bidi="ar"/>
        </w:rPr>
      </w:pP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0"/>
          <w:szCs w:val="36"/>
          <w:lang w:bidi="ar"/>
        </w:rPr>
        <w:t>邻水县2021年医院引进高层次人才计划表</w:t>
      </w:r>
    </w:p>
    <w:tbl>
      <w:tblPr>
        <w:tblStyle w:val="2"/>
        <w:tblW w:w="93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601"/>
        <w:gridCol w:w="989"/>
        <w:gridCol w:w="1049"/>
        <w:gridCol w:w="1367"/>
        <w:gridCol w:w="2150"/>
        <w:gridCol w:w="1190"/>
        <w:gridCol w:w="5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tblHeader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Cs w:val="21"/>
                <w:lang w:bidi="ar"/>
              </w:rPr>
              <w:t>序</w:t>
            </w:r>
          </w:p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Cs w:val="21"/>
                <w:lang w:bidi="ar"/>
              </w:rPr>
              <w:t>经费渠道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Cs w:val="21"/>
                <w:lang w:bidi="ar"/>
              </w:rPr>
              <w:t>学历或职称要求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Cs w:val="21"/>
                <w:lang w:bidi="ar"/>
              </w:rPr>
              <w:t>其他要求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Cs w:val="21"/>
                <w:lang w:bidi="ar"/>
              </w:rPr>
              <w:t>需求</w:t>
            </w:r>
          </w:p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邻水县人民医院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财政差额拨款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临床医学类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硕士研究生及以上学历或副主任医师及以上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高级以上职称人员可放宽至全日制本科学历、学士学位，同时需具备取得高级资格后，在三级医院工作满两年经历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邻水县人民医院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财政差额拨款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中医学类、中西医结合类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硕士研究生及以上学历或副主任医师及以上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3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邻水县人民医院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财政差额拨款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病理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病理学与病理生理学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硕士研究生及以上学历或副主任医师及以上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4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邻水县人民医院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财政差额拨款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医学影像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医学影像学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硕士研究生及以上学历或副主任医师及以上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5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邻水县人民医院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财政差额拨款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检验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医学检验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硕士研究生及以上学历或副主任医师及以上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6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邻水县人民医院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财政差额拨款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护理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护理学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硕士研究生及以上学历或副主任医师及以上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7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邻水县中医医院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财政差额拨款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Cs w:val="21"/>
              </w:rPr>
              <w:t>肿瘤医师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肿瘤学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硕士研究生及以上学历或副主任医师及以上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邻水县中医医院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财政差额拨款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Cs w:val="21"/>
              </w:rPr>
              <w:t>神经外科学科带头人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Cs w:val="21"/>
              </w:rPr>
              <w:t>神经外科学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硕士研究生及以上学历或副主任医师及以上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9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邻水县中医医院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财政差额拨款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Cs w:val="21"/>
              </w:rPr>
              <w:t>脑血管介入学科带头人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Cs w:val="21"/>
              </w:rPr>
              <w:t>临床医学或外科学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硕士研究生及以上学历或副主任医师及以上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合计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  <w:lang w:val="en-US" w:eastAsia="zh-CN"/>
              </w:rPr>
              <w:t>15</w:t>
            </w:r>
          </w:p>
        </w:tc>
      </w:tr>
    </w:tbl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F54A1"/>
    <w:rsid w:val="28E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2020-11-19T09:01:00Z</dcterms:created>
  <dc:creator>Administrator</dc:creator>
  <cp:lastModifiedBy>Administrator</cp:lastModifiedBy>
  <dcterms:modified xsi:type="dcterms:W3CDTF">2020-11-19T09:02:15Z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