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遂宁市河东新区管理委员会2020年公开考调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21"/>
        <w:gridCol w:w="981"/>
        <w:gridCol w:w="100"/>
        <w:gridCol w:w="8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26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获得技术职称、资格证书及特长</w:t>
            </w:r>
          </w:p>
        </w:tc>
        <w:tc>
          <w:tcPr>
            <w:tcW w:w="6861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取得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事业人员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考调岗位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（从大学开始填写，学习期间注明院校和专业；报考岗位相关工作经历、职称情况用黑体字加粗表示）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</w:rPr>
              <w:t>3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干部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权限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 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</w:pPr>
      <w:r>
        <w:rPr>
          <w:rFonts w:hint="eastAsia" w:ascii="新宋体" w:eastAsia="新宋体" w:cs="宋体"/>
          <w:bCs/>
          <w:color w:val="000000"/>
          <w:kern w:val="0"/>
          <w:sz w:val="16"/>
          <w:szCs w:val="16"/>
        </w:rPr>
        <w:t>（注：请考生自行删除括号内容。）</w:t>
      </w:r>
      <w:bookmarkStart w:id="0" w:name="_GoBack"/>
      <w:bookmarkEnd w:id="0"/>
    </w:p>
    <w:sectPr>
      <w:pgSz w:w="11906" w:h="16838"/>
      <w:pgMar w:top="1400" w:right="1304" w:bottom="1400" w:left="1474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46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2020-12-18T11:28:59Z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