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spacing w:line="620" w:lineRule="exact"/>
        <w:jc w:val="center"/>
        <w:rPr>
          <w:rFonts w:hint="eastAsia" w:hAnsi="方正小标宋简体" w:eastAsia="方正小标宋简体"/>
          <w:sz w:val="36"/>
          <w:szCs w:val="36"/>
          <w:highlight w:val="none"/>
        </w:rPr>
      </w:pPr>
      <w:r>
        <w:rPr>
          <w:rFonts w:hint="eastAsia" w:eastAsia="方正小标宋简体"/>
          <w:sz w:val="36"/>
          <w:szCs w:val="36"/>
          <w:highlight w:val="none"/>
        </w:rPr>
        <w:t>2022</w:t>
      </w:r>
      <w:r>
        <w:rPr>
          <w:rFonts w:hint="eastAsia" w:hAnsi="方正小标宋简体" w:eastAsia="方正小标宋简体"/>
          <w:sz w:val="36"/>
          <w:szCs w:val="36"/>
          <w:highlight w:val="none"/>
        </w:rPr>
        <w:t>年遂宁市</w:t>
      </w:r>
      <w:r>
        <w:rPr>
          <w:rFonts w:hint="eastAsia" w:hAnsi="方正小标宋简体" w:eastAsia="方正小标宋简体"/>
          <w:sz w:val="36"/>
          <w:szCs w:val="36"/>
          <w:highlight w:val="none"/>
          <w:lang w:eastAsia="zh-CN"/>
        </w:rPr>
        <w:t>审计局</w:t>
      </w:r>
      <w:r>
        <w:rPr>
          <w:rFonts w:hint="eastAsia" w:hAnsi="方正小标宋简体" w:eastAsia="方正小标宋简体"/>
          <w:sz w:val="36"/>
          <w:szCs w:val="36"/>
          <w:highlight w:val="none"/>
        </w:rPr>
        <w:t>公开</w:t>
      </w:r>
      <w:r>
        <w:rPr>
          <w:rFonts w:hint="eastAsia" w:hAnsi="方正小标宋简体" w:eastAsia="方正小标宋简体"/>
          <w:sz w:val="36"/>
          <w:szCs w:val="36"/>
          <w:highlight w:val="none"/>
          <w:lang w:eastAsia="zh-CN"/>
        </w:rPr>
        <w:t>遴选（考调）公务员</w:t>
      </w:r>
      <w:r>
        <w:rPr>
          <w:rFonts w:hint="eastAsia" w:hAnsi="方正小标宋简体" w:eastAsia="方正小标宋简体"/>
          <w:sz w:val="36"/>
          <w:szCs w:val="36"/>
          <w:highlight w:val="none"/>
        </w:rPr>
        <w:t>职位表</w:t>
      </w:r>
    </w:p>
    <w:tbl>
      <w:tblPr>
        <w:tblStyle w:val="3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06"/>
        <w:gridCol w:w="810"/>
        <w:gridCol w:w="1245"/>
        <w:gridCol w:w="945"/>
        <w:gridCol w:w="900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职位代码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遴选（考调）</w:t>
            </w: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职位名称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职位简介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  <w:t>拟任职级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  <w:t>名额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职位</w:t>
            </w:r>
            <w:r>
              <w:rPr>
                <w:rFonts w:hint="eastAsia" w:eastAsia="黑体"/>
                <w:bCs/>
                <w:snapToGrid w:val="0"/>
                <w:kern w:val="0"/>
                <w:sz w:val="24"/>
                <w:szCs w:val="24"/>
                <w:highlight w:val="none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202201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遂宁市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审计局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综合管理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从事综合文稿和日常行政管理等综合事务工作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一级主任科员及以下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①学历学位:大学本科及以上学历，并取得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相应的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学士及以上学位;②专业：不限；③年龄：3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/>
                <w:bCs/>
                <w:snapToGrid w:val="0"/>
                <w:kern w:val="0"/>
                <w:sz w:val="24"/>
                <w:szCs w:val="24"/>
                <w:highlight w:val="none"/>
                <w:lang w:val="en" w:eastAsia="zh-CN"/>
              </w:rPr>
              <w:t>10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日以后出生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，具有研究生学历并取得硕士及以上学位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或担任科级领导职务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的可放宽至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1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202202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遂宁市审计局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审计业务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从事审计业务工作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一级主任科员及以下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①学历学位:大学本科及以上学历，并取得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相应的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学士及以上学位;②专业：不限；③年龄：3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/>
                <w:bCs/>
                <w:snapToGrid w:val="0"/>
                <w:kern w:val="0"/>
                <w:sz w:val="24"/>
                <w:szCs w:val="24"/>
                <w:highlight w:val="none"/>
                <w:lang w:val="en" w:eastAsia="zh-CN"/>
              </w:rPr>
              <w:t>10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日以后出生），具有研究生学历并取得硕士及以上学位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或担任科级领导职务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的可放宽至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周岁；④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应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审计、财政、财务等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  <w:highlight w:val="none"/>
              </w:rPr>
              <w:t>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zhiNWRkZWQyYWZlMzk2ZWY0ZjU4ZDA5OTE3YTQifQ=="/>
  </w:docVars>
  <w:rsids>
    <w:rsidRoot w:val="390C24A3"/>
    <w:rsid w:val="10522EEE"/>
    <w:rsid w:val="390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Khorosho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366</Characters>
  <Lines>0</Lines>
  <Paragraphs>0</Paragraphs>
  <TotalTime>0</TotalTime>
  <ScaleCrop>false</ScaleCrop>
  <LinksUpToDate>false</LinksUpToDate>
  <CharactersWithSpaces>366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2022-10-13T06:35:00Z</dcterms:created>
  <dc:creator>北极企鹅遂宁分鹅</dc:creator>
  <cp:lastModifiedBy>北极企鹅遂宁分鹅</cp:lastModifiedBy>
  <dcterms:modified xsi:type="dcterms:W3CDTF">2022-10-13T06:44:46Z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25AB7F38EB1C4F8BAB63262F0B26E9FC</vt:lpwstr>
  </property>
</Properties>
</file>