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黑体_GBK" w:eastAsia="方正黑体_GBK" w:cs="方正黑体_GBK"/>
          <w:color w:val="000000"/>
          <w:kern w:val="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</w:rPr>
        <w:t>附件1</w:t>
      </w:r>
    </w:p>
    <w:p>
      <w:pPr>
        <w:spacing w:line="24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</w:rPr>
        <w:t>2020年四川大学华西广安医院（广安市人民医院）第二批引进高层次人才职位一览表</w:t>
      </w:r>
    </w:p>
    <w:bookmarkEnd w:id="0"/>
    <w:p>
      <w:pPr>
        <w:spacing w:line="320" w:lineRule="exact"/>
        <w:jc w:val="left"/>
        <w:rPr>
          <w:rFonts w:ascii="方正黑体_GBK" w:hAnsi="方正小标宋_GBK" w:eastAsia="方正黑体_GBK" w:cs="方正小标宋_GBK"/>
          <w:color w:val="000000"/>
          <w:kern w:val="0"/>
          <w:sz w:val="24"/>
        </w:rPr>
      </w:pPr>
    </w:p>
    <w:tbl>
      <w:tblPr>
        <w:tblStyle w:val="4"/>
        <w:tblW w:w="15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62"/>
        <w:gridCol w:w="2789"/>
        <w:gridCol w:w="3870"/>
        <w:gridCol w:w="919"/>
        <w:gridCol w:w="4100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方正黑体_GBK" w:hAnsi="方正小标宋_GBK" w:eastAsia="方正黑体_GBK" w:cs="方正小标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1562" w:type="dxa"/>
            <w:vAlign w:val="center"/>
          </w:tcPr>
          <w:p>
            <w:pPr>
              <w:spacing w:line="380" w:lineRule="exact"/>
              <w:jc w:val="center"/>
              <w:rPr>
                <w:rFonts w:ascii="方正黑体_GBK" w:hAnsi="方正小标宋_GBK" w:eastAsia="方正黑体_GBK" w:cs="方正小标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2789" w:type="dxa"/>
            <w:vAlign w:val="center"/>
          </w:tcPr>
          <w:p>
            <w:pPr>
              <w:spacing w:line="380" w:lineRule="exact"/>
              <w:jc w:val="center"/>
              <w:rPr>
                <w:rFonts w:ascii="方正黑体_GBK" w:hAnsi="方正小标宋_GBK" w:eastAsia="方正黑体_GBK" w:cs="方正小标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  <w:t>需求专业</w:t>
            </w:r>
          </w:p>
        </w:tc>
        <w:tc>
          <w:tcPr>
            <w:tcW w:w="3870" w:type="dxa"/>
            <w:vAlign w:val="center"/>
          </w:tcPr>
          <w:p>
            <w:pPr>
              <w:spacing w:line="380" w:lineRule="exact"/>
              <w:jc w:val="center"/>
              <w:rPr>
                <w:rFonts w:ascii="方正黑体_GBK" w:hAnsi="方正小标宋_GBK" w:eastAsia="方正黑体_GBK" w:cs="方正小标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919" w:type="dxa"/>
            <w:vAlign w:val="center"/>
          </w:tcPr>
          <w:p>
            <w:pPr>
              <w:spacing w:line="380" w:lineRule="exact"/>
              <w:jc w:val="center"/>
              <w:rPr>
                <w:rFonts w:ascii="方正黑体_GBK" w:hAnsi="方正小标宋_GBK" w:eastAsia="方正黑体_GBK" w:cs="方正小标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4100" w:type="dxa"/>
            <w:vAlign w:val="center"/>
          </w:tcPr>
          <w:p>
            <w:pPr>
              <w:spacing w:line="380" w:lineRule="exact"/>
              <w:jc w:val="center"/>
              <w:rPr>
                <w:rFonts w:ascii="方正黑体_GBK" w:hAnsi="方正小标宋_GBK" w:eastAsia="方正黑体_GBK" w:cs="方正小标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  <w:t>相关要求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方正黑体_GBK" w:hAnsi="方正小标宋_GBK" w:eastAsia="方正黑体_GBK" w:cs="方正小标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小标宋_GBK" w:eastAsia="方正黑体_GBK" w:cs="方正小标宋_GBK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0201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影像医师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取得执业医师资格且在三级甲等综合医院工作（规培）1周年及以上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超声医师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取得执业医师资格且在三级甲等综合医院工作（规培）1周年及以上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0203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普外科医师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取得执业医师资格且在三级甲等综合医院工作（规培）1周年及以上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0204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骨科医师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取得执业医师资格且在三级甲等综合医院工作（规培）1周年及以上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0205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神经外科医师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取得执业医师资格且在三级甲等综合医院工作（规培）1周年及以上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0206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内科医师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临床医学、内科学、神经病学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取得执业医师资格且在三级甲等综合医院工作（规培）1周年及以上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0207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放疗医师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取得执业医师资格且在三级甲等综合医院工作（规培）1周年及以上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0208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儿科医师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取得执业医师资格且在三级甲等综合医院工作（规培）1周年及以上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0209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妇产科医师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妇产科学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取得执业医师资格且在三级甲等综合医院工作（规培）1周年及以上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0210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眼科医师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眼科学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取得执业医师资格且在三级甲等综合医院工作（规培）1周年及以上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0211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急诊医师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急诊医学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取得执业医师资格且在三级甲等综合医院工作（规培）1周年及以上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0212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麻醉医师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取得执业医师资格且在三级甲等综合医院工作（规培）1周年及以上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0213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口腔医师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取得执业医师资格且在三级甲等综合医院工作（规培）1周年及以上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0214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三级甲等综合医院工作（规培）1周年及以上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设备维修管理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三级甲等综合医院工作1周年及以上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021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不限专业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全日制硕士研究生及以上学历并取得相应学位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ahoma" w:hAnsi="Tahoma" w:eastAsia="Tahoma" w:cs="Tahom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三级甲等综合医院工作1周年及以上</w:t>
            </w:r>
          </w:p>
        </w:tc>
        <w:tc>
          <w:tcPr>
            <w:tcW w:w="83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531" w:right="2041" w:bottom="1531" w:left="170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76647"/>
    <w:rsid w:val="39BE4CA7"/>
    <w:rsid w:val="67676647"/>
    <w:rsid w:val="6FB46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2020-11-25T08:49:00Z</dcterms:created>
  <dc:creator>……</dc:creator>
  <cp:lastModifiedBy>……</cp:lastModifiedBy>
  <dcterms:modified xsi:type="dcterms:W3CDTF">2020-11-25T08:51:13Z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