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方正小标宋简体"/>
          <w:szCs w:val="44"/>
        </w:rPr>
      </w:pPr>
    </w:p>
    <w:p>
      <w:pPr>
        <w:pStyle w:val="11"/>
        <w:rPr>
          <w:rFonts w:ascii="方正小标宋简体"/>
          <w:szCs w:val="44"/>
        </w:rPr>
      </w:pPr>
    </w:p>
    <w:p>
      <w:pPr>
        <w:pStyle w:val="11"/>
        <w:rPr>
          <w:rFonts w:ascii="方正小标宋简体"/>
          <w:szCs w:val="44"/>
        </w:rPr>
      </w:pPr>
      <w:r>
        <w:rPr>
          <w:rFonts w:hint="eastAsia" w:ascii="方正小标宋简体"/>
          <w:szCs w:val="44"/>
        </w:rPr>
        <w:t>四川省</w:t>
      </w:r>
      <w:r>
        <w:rPr>
          <w:rFonts w:hint="eastAsia" w:ascii="方正小标宋简体"/>
          <w:szCs w:val="44"/>
          <w:lang w:eastAsia="zh-CN"/>
        </w:rPr>
        <w:t>粮食局</w:t>
      </w:r>
      <w:r>
        <w:rPr>
          <w:rFonts w:hint="eastAsia" w:ascii="方正小标宋简体"/>
          <w:szCs w:val="44"/>
        </w:rPr>
        <w:t>招考简章</w:t>
      </w:r>
    </w:p>
    <w:p>
      <w:pPr>
        <w:spacing w:line="600" w:lineRule="exact"/>
        <w:jc w:val="center"/>
        <w:rPr>
          <w:rFonts w:ascii="Verdana" w:hAnsi="Verdana"/>
          <w:b/>
          <w:sz w:val="44"/>
          <w:szCs w:val="44"/>
        </w:rPr>
      </w:pPr>
    </w:p>
    <w:p>
      <w:pPr>
        <w:spacing w:line="580" w:lineRule="exact"/>
        <w:ind w:firstLine="630" w:firstLineChars="196"/>
        <w:jc w:val="left"/>
        <w:rPr>
          <w:rFonts w:ascii="黑体" w:eastAsia="黑体"/>
          <w:szCs w:val="32"/>
        </w:rPr>
      </w:pPr>
      <w:r>
        <w:rPr>
          <w:rFonts w:hint="eastAsia" w:ascii="黑体" w:eastAsia="黑体"/>
          <w:b/>
          <w:szCs w:val="32"/>
        </w:rPr>
        <w:t>一、招考职位情况</w:t>
      </w:r>
    </w:p>
    <w:p>
      <w:pPr>
        <w:spacing w:line="580" w:lineRule="exact"/>
        <w:ind w:firstLine="640" w:firstLineChars="200"/>
        <w:rPr>
          <w:rFonts w:hint="eastAsia" w:ascii="仿宋_GB2312"/>
          <w:szCs w:val="32"/>
          <w:lang w:val="en-US" w:eastAsia="zh-CN"/>
        </w:rPr>
      </w:pPr>
      <w:r>
        <w:rPr>
          <w:rFonts w:hint="eastAsia" w:ascii="仿宋_GB2312"/>
          <w:szCs w:val="32"/>
          <w:lang w:val="en-US" w:eastAsia="zh-CN"/>
        </w:rPr>
        <w:t>四川省粮食局机关及直属参照公务员法管理事业单位军粮供应中心此次共招考3名人员，其中，公务员2名，参公人员1名。具体职位名称及招考对象、范围、条件见《中共四川省委组织部、四川省人力资源和社会保障厅、四川省公务员局关于2017年四川省省直机关公开考试录用公务员的公告》。</w:t>
      </w:r>
    </w:p>
    <w:p>
      <w:pPr>
        <w:spacing w:line="580" w:lineRule="exact"/>
        <w:ind w:firstLine="643" w:firstLineChars="200"/>
        <w:rPr>
          <w:rFonts w:ascii="黑体" w:eastAsia="黑体"/>
          <w:b/>
          <w:szCs w:val="32"/>
        </w:rPr>
      </w:pPr>
      <w:r>
        <w:rPr>
          <w:rFonts w:hint="eastAsia" w:ascii="黑体" w:eastAsia="黑体"/>
          <w:b/>
          <w:szCs w:val="32"/>
        </w:rPr>
        <w:t xml:space="preserve">二、笔试科目及成绩计算方法 </w:t>
      </w:r>
    </w:p>
    <w:p>
      <w:pPr>
        <w:spacing w:line="580" w:lineRule="exact"/>
        <w:ind w:firstLine="627" w:firstLineChars="196"/>
        <w:jc w:val="left"/>
        <w:rPr>
          <w:rFonts w:ascii="仿宋_GB2312"/>
          <w:szCs w:val="32"/>
        </w:rPr>
      </w:pPr>
      <w:r>
        <w:rPr>
          <w:rFonts w:hint="eastAsia" w:ascii="仿宋_GB2312"/>
          <w:szCs w:val="32"/>
        </w:rPr>
        <w:t>笔试科目为《行政职业能力测验》和《申论》两科。成绩计算方法按《公告》统一规定执行。</w:t>
      </w:r>
    </w:p>
    <w:p>
      <w:pPr>
        <w:spacing w:line="580" w:lineRule="exact"/>
        <w:ind w:firstLine="630" w:firstLineChars="196"/>
        <w:jc w:val="left"/>
        <w:rPr>
          <w:rFonts w:ascii="黑体" w:eastAsia="黑体"/>
          <w:b/>
          <w:szCs w:val="32"/>
        </w:rPr>
      </w:pPr>
      <w:r>
        <w:rPr>
          <w:rFonts w:hint="eastAsia" w:ascii="黑体" w:eastAsia="黑体"/>
          <w:b/>
          <w:szCs w:val="32"/>
        </w:rPr>
        <w:t>三、排名方式</w:t>
      </w:r>
    </w:p>
    <w:p>
      <w:pPr>
        <w:spacing w:line="580" w:lineRule="exact"/>
        <w:ind w:firstLine="627" w:firstLineChars="196"/>
        <w:jc w:val="left"/>
        <w:rPr>
          <w:rFonts w:ascii="仿宋_GB2312"/>
          <w:szCs w:val="32"/>
        </w:rPr>
      </w:pPr>
      <w:r>
        <w:rPr>
          <w:rFonts w:hint="eastAsia" w:ascii="仿宋_GB2312"/>
          <w:szCs w:val="32"/>
        </w:rPr>
        <w:t>按职位排名。</w:t>
      </w:r>
    </w:p>
    <w:p>
      <w:pPr>
        <w:spacing w:line="580" w:lineRule="exact"/>
        <w:ind w:firstLine="630" w:firstLineChars="196"/>
        <w:jc w:val="left"/>
        <w:rPr>
          <w:rFonts w:ascii="黑体" w:eastAsia="黑体"/>
          <w:b/>
          <w:szCs w:val="32"/>
        </w:rPr>
      </w:pPr>
      <w:r>
        <w:rPr>
          <w:rFonts w:hint="eastAsia" w:ascii="黑体" w:eastAsia="黑体"/>
          <w:b/>
          <w:szCs w:val="32"/>
        </w:rPr>
        <w:t>四、转正定职</w:t>
      </w:r>
    </w:p>
    <w:p>
      <w:pPr>
        <w:spacing w:line="580" w:lineRule="exact"/>
        <w:ind w:firstLine="627" w:firstLineChars="196"/>
        <w:jc w:val="left"/>
        <w:rPr>
          <w:rFonts w:ascii="仿宋_GB2312"/>
          <w:szCs w:val="32"/>
        </w:rPr>
      </w:pPr>
      <w:r>
        <w:rPr>
          <w:rFonts w:hint="eastAsia" w:ascii="仿宋_GB2312"/>
          <w:szCs w:val="32"/>
        </w:rPr>
        <w:t>新录用人员在本单位空缺职数范围内定职。</w:t>
      </w:r>
    </w:p>
    <w:p>
      <w:pPr>
        <w:spacing w:line="580" w:lineRule="exact"/>
        <w:ind w:firstLine="630" w:firstLineChars="196"/>
        <w:jc w:val="left"/>
        <w:rPr>
          <w:rFonts w:ascii="黑体" w:eastAsia="黑体"/>
          <w:b/>
          <w:szCs w:val="32"/>
        </w:rPr>
      </w:pPr>
      <w:r>
        <w:rPr>
          <w:rFonts w:hint="eastAsia" w:ascii="黑体" w:eastAsia="黑体"/>
          <w:b/>
          <w:szCs w:val="32"/>
        </w:rPr>
        <w:t>五、单位简介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szCs w:val="32"/>
        </w:rPr>
      </w:pPr>
      <w:r>
        <w:rPr>
          <w:rFonts w:hint="eastAsia"/>
          <w:b/>
        </w:rPr>
        <w:t>四川省</w:t>
      </w:r>
      <w:r>
        <w:rPr>
          <w:rFonts w:hint="eastAsia"/>
          <w:b/>
          <w:lang w:eastAsia="zh-CN"/>
        </w:rPr>
        <w:t>粮食局</w:t>
      </w:r>
      <w:r>
        <w:rPr>
          <w:rFonts w:hint="eastAsia"/>
          <w:b/>
        </w:rPr>
        <w:t>：</w:t>
      </w:r>
      <w:r>
        <w:rPr>
          <w:rFonts w:hint="eastAsia" w:ascii="仿宋_GB2312"/>
          <w:szCs w:val="32"/>
        </w:rPr>
        <w:t>贯彻执行国家粮食流通和储备粮管理的方针、政策及法律、法规，起草全省粮食流通和省级储备粮管理的相关地方法规规章草案，制定粮食流通、库存监督检查等相关管理制度并监督执行。拟订全省粮食流通体制改革方案并组织实施，推动国有粮食企业改革。提出发展现代粮食流通产业战略建议。承担粮食行政调解、行政复议、行政应诉工作。承担粮食预警监测和应急责任，负责全省粮食宏观调控具体工作，组织指导全省粮食系统统计工作。承担省级储备粮行政管理责任，指导全省粮食储备体系建设。贯彻实施国家粮食质量标准，制定全省粮食储存、运输技术规范并监督执行。制订粮食流通产业发展规划，提出促进粮食流通产业发展的政策建议并督促落实，指导、协调全省粮食流通基础设施建设，管理省级投资粮食流通设施建设项目。指导全省国有粮食企业的财务管理和会计报告工作。制订粮食系统人才发展规划，指导全省粮食行业的职业教育，指导直属学校的教育改革和管理。</w:t>
      </w:r>
      <w:r>
        <w:rPr>
          <w:rFonts w:hint="eastAsia" w:ascii="仿宋_GB2312" w:hAnsi="仿宋_GB2312" w:eastAsia="仿宋_GB2312" w:cs="仿宋_GB2312"/>
          <w:sz w:val="32"/>
          <w:szCs w:val="32"/>
          <w:lang w:val="en-US" w:eastAsia="zh-CN"/>
        </w:rPr>
        <w:t>完成上级部门交办的其他工作。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四川省粮食局军粮供应中心</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负</w:t>
      </w:r>
      <w:bookmarkStart w:id="0" w:name="_GoBack"/>
      <w:bookmarkEnd w:id="0"/>
      <w:r>
        <w:rPr>
          <w:rFonts w:hint="eastAsia" w:ascii="仿宋_GB2312" w:hAnsi="仿宋_GB2312" w:eastAsia="仿宋_GB2312" w:cs="仿宋_GB2312"/>
          <w:sz w:val="32"/>
          <w:szCs w:val="32"/>
          <w:lang w:val="en-US" w:eastAsia="zh-CN"/>
        </w:rPr>
        <w:t>责全省军粮供应管理工作；贯彻国家军粮供应政策，研究制定相关军粮供应的具体管理办法及制度规定；负责军用粮票的领取、发放、保管、销毁等管理工作；负责军供差价款的拨付及统计报表的汇总审核上报工作；负责“前运粮”加工调运工作；搞好军供网点的资格认定和军供网点维修改造及管理；完成上级部门交办的其他工作。</w:t>
      </w:r>
    </w:p>
    <w:p>
      <w:pPr>
        <w:spacing w:line="580" w:lineRule="exact"/>
        <w:ind w:firstLine="640" w:firstLineChars="200"/>
        <w:jc w:val="left"/>
        <w:rPr>
          <w:szCs w:val="32"/>
        </w:rPr>
      </w:pPr>
      <w:r>
        <w:rPr>
          <w:szCs w:val="32"/>
        </w:rPr>
        <w:t>招考单位网址：</w:t>
      </w:r>
      <w:r>
        <w:rPr>
          <w:rFonts w:hint="eastAsia"/>
          <w:szCs w:val="32"/>
        </w:rPr>
        <w:t>http://www.scgrain.gov.cn</w:t>
      </w:r>
      <w:r>
        <w:rPr>
          <w:szCs w:val="32"/>
        </w:rPr>
        <w:t>。</w:t>
      </w:r>
    </w:p>
    <w:p>
      <w:pPr>
        <w:spacing w:line="580" w:lineRule="exact"/>
        <w:ind w:firstLine="640" w:firstLineChars="200"/>
        <w:jc w:val="left"/>
        <w:rPr>
          <w:szCs w:val="32"/>
        </w:rPr>
      </w:pPr>
      <w:r>
        <w:rPr>
          <w:szCs w:val="32"/>
        </w:rPr>
        <w:t>招考单位详细地址：成都市</w:t>
      </w:r>
      <w:r>
        <w:rPr>
          <w:rFonts w:hint="eastAsia"/>
          <w:szCs w:val="32"/>
          <w:lang w:eastAsia="zh-CN"/>
        </w:rPr>
        <w:t>东大街上东大街段</w:t>
      </w:r>
      <w:r>
        <w:rPr>
          <w:rFonts w:hint="eastAsia"/>
          <w:szCs w:val="32"/>
          <w:lang w:val="en-US" w:eastAsia="zh-CN"/>
        </w:rPr>
        <w:t>176号</w:t>
      </w:r>
      <w:r>
        <w:rPr>
          <w:szCs w:val="32"/>
        </w:rPr>
        <w:t>。</w:t>
      </w:r>
    </w:p>
    <w:p>
      <w:pPr>
        <w:spacing w:line="580" w:lineRule="exact"/>
        <w:ind w:firstLine="640" w:firstLineChars="200"/>
        <w:jc w:val="left"/>
        <w:rPr>
          <w:szCs w:val="32"/>
        </w:rPr>
      </w:pPr>
      <w:r>
        <w:rPr>
          <w:szCs w:val="32"/>
        </w:rPr>
        <w:t>考录联系电话：</w:t>
      </w:r>
    </w:p>
    <w:p>
      <w:pPr>
        <w:spacing w:line="580" w:lineRule="exact"/>
        <w:ind w:firstLine="640" w:firstLineChars="200"/>
        <w:jc w:val="left"/>
        <w:rPr>
          <w:szCs w:val="32"/>
        </w:rPr>
      </w:pPr>
      <w:r>
        <w:rPr>
          <w:szCs w:val="32"/>
        </w:rPr>
        <w:t>四川省</w:t>
      </w:r>
      <w:r>
        <w:rPr>
          <w:rFonts w:hint="eastAsia"/>
          <w:szCs w:val="32"/>
          <w:lang w:eastAsia="zh-CN"/>
        </w:rPr>
        <w:t>粮食局人事教育处</w:t>
      </w:r>
      <w:r>
        <w:rPr>
          <w:szCs w:val="32"/>
        </w:rPr>
        <w:t>:（028）8</w:t>
      </w:r>
      <w:r>
        <w:rPr>
          <w:rFonts w:hint="eastAsia"/>
          <w:szCs w:val="32"/>
          <w:lang w:val="en-US" w:eastAsia="zh-CN"/>
        </w:rPr>
        <w:t>6739842</w:t>
      </w:r>
    </w:p>
    <w:p>
      <w:pPr>
        <w:spacing w:line="580" w:lineRule="exact"/>
        <w:ind w:firstLine="640" w:firstLineChars="200"/>
        <w:jc w:val="left"/>
        <w:rPr>
          <w:szCs w:val="32"/>
        </w:rPr>
      </w:pPr>
      <w:r>
        <w:rPr>
          <w:szCs w:val="32"/>
        </w:rPr>
        <w:t>四川省</w:t>
      </w:r>
      <w:r>
        <w:rPr>
          <w:rFonts w:hint="eastAsia"/>
          <w:szCs w:val="32"/>
          <w:lang w:eastAsia="zh-CN"/>
        </w:rPr>
        <w:t>粮食局军粮供应中心</w:t>
      </w:r>
      <w:r>
        <w:rPr>
          <w:szCs w:val="32"/>
        </w:rPr>
        <w:t xml:space="preserve">: </w:t>
      </w:r>
      <w:r>
        <w:rPr>
          <w:color w:val="000000"/>
        </w:rPr>
        <w:t>(</w:t>
      </w:r>
      <w:r>
        <w:rPr>
          <w:szCs w:val="32"/>
        </w:rPr>
        <w:t>028)</w:t>
      </w:r>
      <w:r>
        <w:rPr>
          <w:rFonts w:hint="eastAsia"/>
          <w:szCs w:val="32"/>
          <w:lang w:val="en-US" w:eastAsia="zh-CN"/>
        </w:rPr>
        <w:t>86739502</w:t>
      </w:r>
    </w:p>
    <w:p>
      <w:pPr>
        <w:spacing w:line="580" w:lineRule="exact"/>
        <w:ind w:firstLine="640" w:firstLineChars="200"/>
        <w:jc w:val="left"/>
        <w:rPr>
          <w:lang w:val="en-US"/>
        </w:rPr>
      </w:pPr>
      <w:r>
        <w:rPr>
          <w:szCs w:val="32"/>
        </w:rPr>
        <w:t>考录监督电话：（028）</w:t>
      </w:r>
      <w:r>
        <w:rPr>
          <w:rFonts w:hint="eastAsia"/>
          <w:szCs w:val="32"/>
          <w:lang w:val="en-US" w:eastAsia="zh-CN"/>
        </w:rPr>
        <w:t>86739820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方正仿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53ECF"/>
    <w:rsid w:val="00036BDE"/>
    <w:rsid w:val="0005591A"/>
    <w:rsid w:val="000C280A"/>
    <w:rsid w:val="000C7B40"/>
    <w:rsid w:val="000D6B42"/>
    <w:rsid w:val="00114DE3"/>
    <w:rsid w:val="001240BE"/>
    <w:rsid w:val="001361CE"/>
    <w:rsid w:val="00172831"/>
    <w:rsid w:val="001A0FB0"/>
    <w:rsid w:val="00204245"/>
    <w:rsid w:val="00284AA6"/>
    <w:rsid w:val="002A3D54"/>
    <w:rsid w:val="00301372"/>
    <w:rsid w:val="00331922"/>
    <w:rsid w:val="003468B2"/>
    <w:rsid w:val="00354FCF"/>
    <w:rsid w:val="004251CB"/>
    <w:rsid w:val="004F6386"/>
    <w:rsid w:val="00553CFA"/>
    <w:rsid w:val="00554DC0"/>
    <w:rsid w:val="0056223F"/>
    <w:rsid w:val="005F52E1"/>
    <w:rsid w:val="006F7E46"/>
    <w:rsid w:val="00743A7F"/>
    <w:rsid w:val="00767577"/>
    <w:rsid w:val="007D0453"/>
    <w:rsid w:val="00880028"/>
    <w:rsid w:val="00913C7E"/>
    <w:rsid w:val="009344D0"/>
    <w:rsid w:val="00950699"/>
    <w:rsid w:val="00972835"/>
    <w:rsid w:val="00987CE1"/>
    <w:rsid w:val="009F31E3"/>
    <w:rsid w:val="009F41ED"/>
    <w:rsid w:val="00AD1F0B"/>
    <w:rsid w:val="00AE62EE"/>
    <w:rsid w:val="00B26351"/>
    <w:rsid w:val="00B32EDB"/>
    <w:rsid w:val="00B757D1"/>
    <w:rsid w:val="00C2087A"/>
    <w:rsid w:val="00C2194D"/>
    <w:rsid w:val="00C53ECF"/>
    <w:rsid w:val="00C73C2D"/>
    <w:rsid w:val="00C77D5C"/>
    <w:rsid w:val="00DB2A14"/>
    <w:rsid w:val="00DC548F"/>
    <w:rsid w:val="00E73EAA"/>
    <w:rsid w:val="00E92C22"/>
    <w:rsid w:val="00EA2BD7"/>
    <w:rsid w:val="00F10879"/>
    <w:rsid w:val="00F27194"/>
    <w:rsid w:val="00F30F4A"/>
    <w:rsid w:val="00F8110A"/>
    <w:rsid w:val="00FA1802"/>
    <w:rsid w:val="00FF782B"/>
    <w:rsid w:val="03E17FC7"/>
    <w:rsid w:val="04E10AA5"/>
    <w:rsid w:val="05682F9B"/>
    <w:rsid w:val="37FC367C"/>
    <w:rsid w:val="38461232"/>
    <w:rsid w:val="3FE00434"/>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Hyperlink"/>
    <w:basedOn w:val="4"/>
    <w:unhideWhenUsed/>
    <w:qFormat/>
    <w:uiPriority w:val="99"/>
    <w:rPr>
      <w:color w:val="333333"/>
      <w:u w:val="none"/>
    </w:r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 w:type="paragraph" w:customStyle="1" w:styleId="9">
    <w:name w:val="a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a"/>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无间隔1"/>
    <w:next w:val="1"/>
    <w:qFormat/>
    <w:uiPriority w:val="0"/>
    <w:pPr>
      <w:widowControl w:val="0"/>
      <w:spacing w:line="600" w:lineRule="exact"/>
      <w:jc w:val="center"/>
    </w:pPr>
    <w:rPr>
      <w:rFonts w:ascii="Times New Roman" w:hAnsi="Times New Roman" w:eastAsia="方正小标宋简体" w:cs="Times New Roman"/>
      <w:b/>
      <w:kern w:val="2"/>
      <w:sz w:val="4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D69C2C-6981-445E-93BF-A26E82B45E3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286</Words>
  <Characters>1633</Characters>
  <Lines>13</Lines>
  <Paragraphs>3</Paragraphs>
  <ScaleCrop>false</ScaleCrop>
  <LinksUpToDate>false</LinksUpToDate>
  <CharactersWithSpaces>1916</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2017-03-06T06:30:00Z</dcterms:created>
  <dc:creator>滐Ե</dc:creator>
  <cp:lastModifiedBy>Administrator</cp:lastModifiedBy>
  <dcterms:modified xsi:type="dcterms:W3CDTF">2017-03-08T06:41:51Z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